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Lekstrom Morgan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20"/>
        <w:spacing w:after="0" w:line="365" w:lineRule="auto"/>
        <w:rPr>
          <w:sz w:val="20"/>
          <w:szCs w:val="20"/>
          <w:color w:val="auto"/>
        </w:rPr>
      </w:pPr>
      <w:r>
        <w:rPr>
          <w:rFonts w:ascii="Times New Roman" w:cs="Times New Roman" w:eastAsia="Times New Roman" w:hAnsi="Times New Roman"/>
          <w:sz w:val="17"/>
          <w:szCs w:val="17"/>
          <w:color w:val="0000FF"/>
        </w:rPr>
        <w:t>C/O STREAMEX CORP. 2431 ALOMA AVE STE 243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Streamex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Interim Executive Chairman</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6"/>
            <w:vMerge w:val="continue"/>
          </w:tcPr>
          <w:p>
            <w:pPr>
              <w:spacing w:after="0"/>
              <w:rPr>
                <w:sz w:val="10"/>
                <w:szCs w:val="10"/>
                <w:color w:val="auto"/>
              </w:rPr>
            </w:pPr>
          </w:p>
        </w:tc>
        <w:tc>
          <w:tcPr>
            <w:tcW w:w="3640" w:type="dxa"/>
            <w:vAlign w:val="bottom"/>
            <w:gridSpan w:val="9"/>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04/17/2026</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WINTER</w:t>
            </w: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40" w:type="dxa"/>
            <w:vAlign w:val="bottom"/>
            <w:gridSpan w:val="5"/>
            <w:vMerge w:val="continue"/>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32792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7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1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00" w:type="dxa"/>
            <w:vAlign w:val="bottom"/>
            <w:gridSpan w:val="8"/>
          </w:tcPr>
          <w:p>
            <w:pPr>
              <w:ind w:left="28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ind w:left="280"/>
              <w:spacing w:after="0" w:line="113"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All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7"/>
                <w:szCs w:val="17"/>
                <w:color w:val="0000FF"/>
              </w:rPr>
              <w:t>128,500</w:t>
            </w:r>
            <w:r>
              <w:rPr>
                <w:rFonts w:ascii="Times New Roman" w:cs="Times New Roman" w:eastAsia="Times New Roman" w:hAnsi="Times New Roman"/>
                <w:sz w:val="22"/>
                <w:szCs w:val="22"/>
                <w:color w:val="008000"/>
                <w:vertAlign w:val="superscript"/>
              </w:rPr>
              <w:t>(1)</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Mine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Consulting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gridSpan w:val="3"/>
          </w:tcPr>
          <w:p>
            <w:pPr>
              <w:jc w:val="center"/>
              <w:ind w:right="260"/>
              <w:spacing w:after="0"/>
              <w:rPr>
                <w:sz w:val="20"/>
                <w:szCs w:val="20"/>
                <w:color w:val="auto"/>
              </w:rPr>
            </w:pPr>
            <w:r>
              <w:rPr>
                <w:rFonts w:ascii="Times New Roman" w:cs="Times New Roman" w:eastAsia="Times New Roman" w:hAnsi="Times New Roman"/>
                <w:sz w:val="17"/>
                <w:szCs w:val="17"/>
                <w:color w:val="0000FF"/>
              </w:rPr>
              <w:t>87,241</w:t>
            </w:r>
            <w:r>
              <w:rPr>
                <w:rFonts w:ascii="Times New Roman" w:cs="Times New Roman" w:eastAsia="Times New Roman" w:hAnsi="Times New Roman"/>
                <w:sz w:val="22"/>
                <w:szCs w:val="22"/>
                <w:color w:val="008000"/>
                <w:vertAlign w:val="superscript"/>
              </w:rPr>
              <w:t>(1)</w:t>
            </w:r>
          </w:p>
        </w:tc>
        <w:tc>
          <w:tcPr>
            <w:tcW w:w="3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purpose of this Form 4/A is to correct (i) the quantity of securities beneficially owned by the Reporting Person and (ii) the Reporting Person's form of ownership following the reported transaction. The Reporting Person has not undertaken to amend any Form 4 that may have been filed subsequent to the filing date of the original Form 4 and prior to the filing date of this Form 4/A to correct the quantity of securities beneficially owned or the form ownership reported on any such subsequent Form(s) 4. The amounts reported herein reflect the aggregate number of shares of common stock, par value $0.001 per share ("Common Stock") of the Issuer beneficially owned by the Reporting Person as of the date of the original Form 4 filed on April 17, 2026. As of the date of this Form 4/A, the Reporting Person holds 87,241 shares of Common Stock directly and 309,500 shares of Common Stock held by an entity for which the Reporting Person holds voting and dispositive control.</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an entity for which the Reporting Person holds voting and dispositive control.</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Morgan Lekstrom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05/28/2026</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2014" TargetMode="External"/><Relationship Id="rId14" Type="http://schemas.openxmlformats.org/officeDocument/2006/relationships/hyperlink" Target="http://www.sec.gov/cgi-bin/browse-edgar?action=getcompany&amp;CIK=00015307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2026-05-28T20:45:43Z</dcterms:created>
  <dcterms:modified xsi:type="dcterms:W3CDTF">2026-05-28T20:45:43Z</dcterms:modified>
</cp:coreProperties>
</file>