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101__20"/>
      <w:bookmarkEnd w:id="2"/>
      <w:r>
        <w:rPr>
          <w:rFonts w:ascii="Times New Roman;Times;Serif" w:hAnsi="Times New Roman;Times;Serif"/>
          <w:b/>
          <w:i w:val="false"/>
          <w:caps w:val="false"/>
          <w:smallCaps w:val="false"/>
          <w:sz w:val="36"/>
        </w:rPr>
        <w:t>10-Q</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pBdr/>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3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9_edei--DocumentPeriodEndDate_c202"/>
      <w:bookmarkEnd w:id="4"/>
      <w:r>
        <w:rPr>
          <w:rFonts w:ascii="Times New Roman;Times;Serif" w:hAnsi="Times New Roman;Times;Serif"/>
          <w:b/>
          <w:i w:val="false"/>
          <w:caps w:val="false"/>
          <w:smallCaps w:val="false"/>
          <w:sz w:val="20"/>
        </w:rPr>
        <w:t xml:space="preserve">June 30, </w:t>
      </w:r>
      <w:bookmarkStart w:id="5" w:name="xdx_905_edei--DocumentFiscalYearFocus_c2"/>
      <w:bookmarkEnd w:id="5"/>
      <w:r>
        <w:rPr>
          <w:rFonts w:ascii="Times New Roman;Times;Serif" w:hAnsi="Times New Roman;Times;Serif"/>
          <w:b/>
          <w:i w:val="false"/>
          <w:caps w:val="false"/>
          <w:smallCaps w:val="false"/>
          <w:sz w:val="20"/>
        </w:rPr>
        <w:t>2026</w:t>
      </w:r>
    </w:p>
    <w:p>
      <w:pPr>
        <w:pStyle w:val="TextBody"/>
        <w:pBdr/>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5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B_edei--EntityFileNumber_c20260101"/>
      <w:bookmarkEnd w:id="7"/>
      <w:r>
        <w:rPr>
          <w:rFonts w:ascii="Times New Roman;Times;Serif" w:hAnsi="Times New Roman;Times;Serif"/>
          <w:b/>
          <w:i w:val="false"/>
          <w:caps w:val="false"/>
          <w:smallCaps w:val="false"/>
          <w:sz w:val="20"/>
        </w:rPr>
        <w:t>001-38659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u w:val="single"/>
        </w:rPr>
      </w:pPr>
      <w:bookmarkStart w:id="8" w:name="xdx_90A_edei--EntityRegistrantName_c2026"/>
      <w:bookmarkEnd w:id="8"/>
      <w:r>
        <w:rPr>
          <w:rFonts w:ascii="Times New Roman;Times;Serif" w:hAnsi="Times New Roman;Times;Serif"/>
          <w:b/>
          <w:i w:val="false"/>
          <w:caps w:val="false"/>
          <w:smallCaps w:val="false"/>
          <w:sz w:val="36"/>
          <w:u w:val="single"/>
        </w:rPr>
        <w:t>STREAMEX CORP.</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5125" w:type="dxa"/>
        <w:jc w:val="left"/>
        <w:tblInd w:w="0" w:type="dxa"/>
        <w:tblLayout w:type="fixed"/>
        <w:tblCellMar>
          <w:top w:w="0" w:type="dxa"/>
          <w:left w:w="0" w:type="dxa"/>
          <w:bottom w:w="28" w:type="dxa"/>
          <w:right w:w="0" w:type="dxa"/>
        </w:tblCellMar>
      </w:tblPr>
      <w:tblGrid>
        <w:gridCol w:w="3530"/>
        <w:gridCol w:w="60"/>
        <w:gridCol w:w="1535"/>
      </w:tblGrid>
      <w:tr>
        <w:trPr/>
        <w:tc>
          <w:tcPr>
            <w:tcW w:w="35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8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6_edei--EntityTaxIdentificationNum"/>
            <w:bookmarkEnd w:id="10"/>
            <w:r>
              <w:rPr>
                <w:rFonts w:ascii="Times New Roman;Times;Serif" w:hAnsi="Times New Roman;Times;Serif"/>
                <w:b/>
                <w:i w:val="false"/>
                <w:caps w:val="false"/>
                <w:smallCaps w:val="false"/>
                <w:sz w:val="20"/>
              </w:rPr>
              <w:t>26-4333375</w:t>
            </w:r>
          </w:p>
        </w:tc>
      </w:tr>
      <w:tr>
        <w:trPr/>
        <w:tc>
          <w:tcPr>
            <w:tcW w:w="3530"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5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5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0_edei--EntityAddressAddressLine1_"/>
            <w:bookmarkEnd w:id="11"/>
            <w:r>
              <w:rPr>
                <w:rFonts w:ascii="Times New Roman;Times;Serif" w:hAnsi="Times New Roman;Times;Serif"/>
                <w:b/>
                <w:i w:val="false"/>
                <w:caps w:val="false"/>
                <w:smallCaps w:val="false"/>
                <w:sz w:val="20"/>
              </w:rPr>
              <w:t xml:space="preserve">165 Lincoln Ave, </w:t>
            </w:r>
            <w:bookmarkStart w:id="12" w:name="xdx_903_edei--EntityAddressAddressLine2_"/>
            <w:bookmarkEnd w:id="12"/>
            <w:r>
              <w:rPr>
                <w:rFonts w:ascii="Times New Roman;Times;Serif" w:hAnsi="Times New Roman;Times;Serif"/>
                <w:b/>
                <w:i w:val="false"/>
                <w:caps w:val="false"/>
                <w:smallCaps w:val="false"/>
                <w:sz w:val="20"/>
              </w:rPr>
              <w:t>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Floor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5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5_edei--EntityAddressCityOrTown_c2"/>
            <w:bookmarkEnd w:id="13"/>
            <w:r>
              <w:rPr>
                <w:rFonts w:ascii="Times New Roman;Times;Serif" w:hAnsi="Times New Roman;Times;Serif"/>
                <w:b/>
                <w:i w:val="false"/>
                <w:caps w:val="false"/>
                <w:smallCaps w:val="false"/>
                <w:sz w:val="20"/>
              </w:rPr>
              <w:t xml:space="preserve">Winter Park, </w:t>
            </w:r>
            <w:bookmarkStart w:id="14" w:name="xdx_906_edei--EntityAddressStateOrProvin"/>
            <w:bookmarkEnd w:id="14"/>
            <w:r>
              <w:rPr>
                <w:rFonts w:ascii="Times New Roman;Times;Serif" w:hAnsi="Times New Roman;Times;Serif"/>
                <w:b/>
                <w:i w:val="false"/>
                <w:caps w:val="false"/>
                <w:smallCaps w:val="false"/>
                <w:sz w:val="20"/>
              </w:rPr>
              <w:t>Florida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D_edei--EntityAddressPostalZipCode"/>
            <w:bookmarkEnd w:id="15"/>
            <w:r>
              <w:rPr>
                <w:rFonts w:ascii="Times New Roman;Times;Serif" w:hAnsi="Times New Roman;Times;Serif"/>
                <w:b/>
                <w:i w:val="false"/>
                <w:caps w:val="false"/>
                <w:smallCaps w:val="false"/>
                <w:sz w:val="20"/>
              </w:rPr>
              <w:t>32789</w:t>
            </w:r>
          </w:p>
        </w:tc>
      </w:tr>
      <w:tr>
        <w:trPr/>
        <w:tc>
          <w:tcPr>
            <w:tcW w:w="35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u w:val="single"/>
        </w:rPr>
      </w:pPr>
      <w:bookmarkStart w:id="16" w:name="xdx_907_edei--CityAreaCode_c20260101__20"/>
      <w:bookmarkEnd w:id="16"/>
      <w:r>
        <w:rPr>
          <w:rFonts w:ascii="Times New Roman;Times;Serif" w:hAnsi="Times New Roman;Times;Serif"/>
          <w:b/>
          <w:i w:val="false"/>
          <w:caps w:val="false"/>
          <w:smallCaps w:val="false"/>
          <w:sz w:val="20"/>
          <w:u w:val="single"/>
        </w:rPr>
        <w:t xml:space="preserve">(203) </w:t>
      </w:r>
      <w:bookmarkStart w:id="17" w:name="xdx_908_edei--LocalPhoneNumber_c20260101"/>
      <w:bookmarkEnd w:id="17"/>
      <w:r>
        <w:rPr>
          <w:rFonts w:ascii="Times New Roman;Times;Serif" w:hAnsi="Times New Roman;Times;Serif"/>
          <w:b/>
          <w:i w:val="false"/>
          <w:caps w:val="false"/>
          <w:smallCaps w:val="false"/>
          <w:sz w:val="20"/>
          <w:u w:val="single"/>
        </w:rPr>
        <w:t>409-5444</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pBdr/>
        <w:bidi w:val="0"/>
        <w:spacing w:before="0" w:after="0"/>
        <w:ind w:left="0" w:right="0" w:hanging="0"/>
        <w:jc w:val="center"/>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53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0101"/>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60101__2"/>
            <w:bookmarkEnd w:id="19"/>
            <w:r>
              <w:rPr>
                <w:rFonts w:ascii="Times New Roman;Times;Serif" w:hAnsi="Times New Roman;Times;Serif"/>
                <w:b w:val="false"/>
                <w:i w:val="false"/>
                <w:caps w:val="false"/>
                <w:smallCaps w:val="false"/>
                <w:sz w:val="20"/>
              </w:rPr>
              <w:t>STEX</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C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B_edei--EntityCurrentReportingStat"/>
      <w:bookmarkEnd w:id="21"/>
      <w:r>
        <w:rPr>
          <w:rFonts w:ascii="Times New Roman;Times;Serif" w:hAnsi="Times New Roman;Times;Serif"/>
          <w:b w:val="false"/>
          <w:i w:val="false"/>
          <w:caps w:val="false"/>
          <w:smallCaps w:val="false"/>
          <w:sz w:val="20"/>
        </w:rPr>
        <w:t>Yes ☒ No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0_edei--EntityInteractiveDataCurre"/>
      <w:bookmarkEnd w:id="22"/>
      <w:r>
        <w:rPr>
          <w:rFonts w:ascii="Times New Roman;Times;Serif" w:hAnsi="Times New Roman;Times;Serif"/>
          <w:b w:val="false"/>
          <w:i w:val="false"/>
          <w:caps w:val="false"/>
          <w:smallCaps w:val="false"/>
          <w:sz w:val="20"/>
        </w:rPr>
        <w:t>Yes ☒ No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pBdr/>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A_edei--EntityFilerCategory_c2026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4" w:name="xdx_907_edei--EntitySmallBusiness_c20260"/>
            <w:bookmarkEnd w:id="24"/>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5" w:name="xdx_902_edei--EntityEmergingGrowthCompan"/>
            <w:bookmarkEnd w:id="25"/>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8_edei--EntityShellCompany_dbF_c20"/>
      <w:bookmarkEnd w:id="26"/>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13, 2026, there were </w:t>
      </w:r>
      <w:bookmarkStart w:id="27" w:name="xdx_90D_edei--EntityCommonStockSharesOut"/>
      <w:bookmarkEnd w:id="27"/>
      <w:r>
        <w:rPr>
          <w:rFonts w:ascii="Times New Roman;Times;Serif" w:hAnsi="Times New Roman;Times;Serif"/>
          <w:b w:val="false"/>
          <w:i w:val="false"/>
          <w:caps w:val="false"/>
          <w:smallCaps w:val="false"/>
          <w:sz w:val="20"/>
        </w:rPr>
        <w:t>116,465,417 shares of the registrant’s common stock, par value $</w:t>
      </w:r>
      <w:bookmarkStart w:id="28" w:name="xdx_903_edei--EntityListingParValuePerSh"/>
      <w:bookmarkEnd w:id="28"/>
      <w:r>
        <w:rPr>
          <w:rFonts w:ascii="Times New Roman;Times;Serif" w:hAnsi="Times New Roman;Times;Serif"/>
          <w:b w:val="false"/>
          <w:i w:val="false"/>
          <w:caps w:val="false"/>
          <w:smallCaps w:val="false"/>
          <w:sz w:val="20"/>
        </w:rPr>
        <w:t>0.001 per share, outstanding.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Exchangeable and Special Voting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13, 2026, there were 68,952,618 exchangeable shares of BST Sub ULC, a wholly owned subsidiary of the registrant, outstanding. Each exchangeable share is exchangeable for one share of the registrant’s common stock and carries rights substantially equivalent to the registrant’s common stock, including rights to dividends, liquidation preferences and voting through the Special Voting Preferred Stock held by a trustee.</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idi w:val="0"/>
        <w:spacing w:before="0" w:after="0"/>
        <w:ind w:left="0" w:right="0" w:hanging="0"/>
        <w:jc w:val="center"/>
        <w:rPr>
          <w:caps w:val="false"/>
          <w:smallCaps w:val="false"/>
        </w:rPr>
      </w:pPr>
      <w:r>
        <w:rPr>
          <w:caps w:val="false"/>
          <w:smallCaps w:val="false"/>
        </w:rPr>
        <w:t> </w:t>
      </w:r>
    </w:p>
    <w:tbl>
      <w:tblPr>
        <w:tblW w:w="9345" w:type="dxa"/>
        <w:jc w:val="left"/>
        <w:tblInd w:w="0" w:type="dxa"/>
        <w:tblLayout w:type="fixed"/>
        <w:tblCellMar>
          <w:top w:w="0" w:type="dxa"/>
          <w:left w:w="0" w:type="dxa"/>
          <w:bottom w:w="0" w:type="dxa"/>
          <w:right w:w="0" w:type="dxa"/>
        </w:tblCellMar>
      </w:tblPr>
      <w:tblGrid>
        <w:gridCol w:w="75"/>
        <w:gridCol w:w="830"/>
        <w:gridCol w:w="7925"/>
        <w:gridCol w:w="515"/>
      </w:tblGrid>
      <w:tr>
        <w:trPr/>
        <w:tc>
          <w:tcPr>
            <w:tcW w:w="8830" w:type="dxa"/>
            <w:gridSpan w:val="3"/>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i w:val="false"/>
                  <w:caps w:val="false"/>
                  <w:smallCaps w:val="false"/>
                  <w:sz w:val="20"/>
                </w:rPr>
                <w:t>PART I. FINANCIAL INFORMATION</w:t>
              </w:r>
            </w:hyperlink>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925"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and Comprehensive Loss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Equity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925"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925" w:type="dxa"/>
            <w:tcBorders/>
            <w:shd w:fill="FFFF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925"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830" w:type="dxa"/>
            <w:gridSpan w:val="3"/>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i w:val="false"/>
                  <w:caps w:val="false"/>
                  <w:smallCaps w:val="false"/>
                  <w:sz w:val="20"/>
                </w:rPr>
                <w:t>PART II. OTHER INFORMATION</w:t>
              </w:r>
            </w:hyperlink>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925"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Legal Proceedings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925" w:type="dxa"/>
            <w:tcBorders/>
            <w:shd w:fill="FFFF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Risk Factors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925"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925" w:type="dxa"/>
            <w:tcBorders/>
            <w:shd w:fill="FFFF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925"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925" w:type="dxa"/>
            <w:tcBorders/>
            <w:shd w:fill="FFFF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Other Information</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925"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Exhibits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755" w:type="dxa"/>
            <w:gridSpan w:val="2"/>
            <w:tcBorders/>
            <w:shd w:fill="CCEEFF" w:val="clear"/>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SIGNATURES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bl>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9" w:name="a_001"/>
      <w:bookmarkEnd w:id="29"/>
      <w:r>
        <w:rPr>
          <w:rFonts w:ascii="Times New Roman;Times;Serif" w:hAnsi="Times New Roman;Times;Serif"/>
          <w:b/>
          <w:i w:val="false"/>
          <w:caps w:val="false"/>
          <w:smallCaps w:val="false"/>
          <w:sz w:val="20"/>
        </w:rPr>
        <w:t>PART I</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FINANCIAL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0" w:name="a_002"/>
      <w:bookmarkEnd w:id="30"/>
      <w:r>
        <w:rPr>
          <w:rFonts w:ascii="Times New Roman;Times;Serif" w:hAnsi="Times New Roman;Times;Serif"/>
          <w:b/>
          <w:i w:val="false"/>
          <w:caps w:val="false"/>
          <w:smallCaps w:val="false"/>
          <w:sz w:val="20"/>
        </w:rPr>
        <w:t>ITEM 1.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1" w:name="a_003"/>
      <w:bookmarkEnd w:id="31"/>
      <w:r>
        <w:rPr>
          <w:rFonts w:ascii="Times New Roman;Times;Serif" w:hAnsi="Times New Roman;Times;Serif"/>
          <w:b/>
          <w:i w:val="false"/>
          <w:caps w:val="false"/>
          <w:smallCaps w:val="false"/>
          <w:sz w:val="20"/>
        </w:rPr>
        <w:t>CONDENSED CONSOLIDATED BALANCE SHEETS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number of shares and par value)</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A_111_pn3n3_zMWAfTvJKDli"/>
      <w:bookmarkStart w:id="33" w:name="xdx_30A_111_pn3n3_zMWAfTvJKDli"/>
      <w:bookmarkEnd w:id="33"/>
    </w:p>
    <w:tbl>
      <w:tblPr>
        <w:tblW w:w="10205" w:type="dxa"/>
        <w:jc w:val="left"/>
        <w:tblInd w:w="0" w:type="dxa"/>
        <w:tblLayout w:type="fixed"/>
        <w:tblCellMar>
          <w:top w:w="0" w:type="dxa"/>
          <w:left w:w="0" w:type="dxa"/>
          <w:bottom w:w="0" w:type="dxa"/>
          <w:right w:w="0" w:type="dxa"/>
        </w:tblCellMar>
      </w:tblPr>
      <w:tblGrid>
        <w:gridCol w:w="7558"/>
        <w:gridCol w:w="60"/>
        <w:gridCol w:w="164"/>
        <w:gridCol w:w="1026"/>
        <w:gridCol w:w="95"/>
        <w:gridCol w:w="60"/>
        <w:gridCol w:w="155"/>
        <w:gridCol w:w="975"/>
        <w:gridCol w:w="112"/>
      </w:tblGrid>
      <w:tr>
        <w:trPr/>
        <w:tc>
          <w:tcPr>
            <w:tcW w:w="7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6_20260630_znwOXPHDZ2e"/>
            <w:bookmarkEnd w:id="34"/>
          </w:p>
        </w:tc>
        <w:tc>
          <w:tcPr>
            <w:tcW w:w="11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5_20251231_zVS1N3ua1Qpi"/>
            <w:bookmarkEnd w:id="35"/>
          </w:p>
        </w:tc>
        <w:tc>
          <w:tcPr>
            <w:tcW w:w="11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2" w:type="dxa"/>
            <w:tcBorders/>
            <w:vAlign w:val="center"/>
          </w:tcPr>
          <w:p>
            <w:pPr>
              <w:pStyle w:val="TableContents"/>
              <w:bidi w:val="0"/>
              <w:spacing w:before="0" w:after="283"/>
              <w:jc w:val="left"/>
              <w:rPr/>
            </w:pPr>
            <w:r>
              <w:rPr/>
              <w:t> </w:t>
            </w:r>
          </w:p>
        </w:tc>
      </w:tr>
      <w:tr>
        <w:trPr/>
        <w:tc>
          <w:tcPr>
            <w:tcW w:w="7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2" w:type="dxa"/>
            <w:tcBorders/>
            <w:vAlign w:val="center"/>
          </w:tcPr>
          <w:p>
            <w:pPr>
              <w:pStyle w:val="TableContents"/>
              <w:bidi w:val="0"/>
              <w:spacing w:before="0" w:after="283"/>
              <w:jc w:val="left"/>
              <w:rPr/>
            </w:pPr>
            <w:r>
              <w:rPr/>
              <w:t> </w:t>
            </w:r>
          </w:p>
        </w:tc>
      </w:tr>
      <w:tr>
        <w:trPr/>
        <w:tc>
          <w:tcPr>
            <w:tcW w:w="7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36" w:name="xdx_403_eus-gaap--AssetsAbstract_iB_zYdh"/>
            <w:bookmarkEnd w:id="36"/>
          </w:p>
        </w:tc>
      </w:tr>
      <w:tr>
        <w:trPr/>
        <w:tc>
          <w:tcPr>
            <w:tcW w:w="7558"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7" w:name="xdx_406_eus-gaap--AssetsCurrentAbstract_"/>
            <w:bookmarkEnd w:id="37"/>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8" w:name="xdx_40C_eus-gaap--Cash_i02I_maACzsxb_zrl"/>
            <w:bookmarkEnd w:id="38"/>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20,316</w:t>
            </w:r>
          </w:p>
        </w:tc>
        <w:tc>
          <w:tcPr>
            <w:tcW w:w="112" w:type="dxa"/>
            <w:tcBorders/>
            <w:shd w:fill="CCEEFF" w:val="clear"/>
            <w:vAlign w:val="center"/>
          </w:tcPr>
          <w:p>
            <w:pPr>
              <w:pStyle w:val="TableContents"/>
              <w:bidi w:val="0"/>
              <w:spacing w:before="0" w:after="283"/>
              <w:jc w:val="left"/>
              <w:rPr/>
            </w:pPr>
            <w:r>
              <w:rPr/>
              <w:t> </w:t>
            </w:r>
            <w:bookmarkStart w:id="39" w:name="xdx_40C_eus-gaap--CryptoAssetFairValueCu"/>
            <w:bookmarkEnd w:id="39"/>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40" w:name="xdx_40A_eus-gaap--MarketableSecuritiesCu"/>
            <w:bookmarkEnd w:id="40"/>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Marketable securities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9,706</w:t>
            </w:r>
          </w:p>
        </w:tc>
        <w:tc>
          <w:tcPr>
            <w:tcW w:w="112" w:type="dxa"/>
            <w:tcBorders/>
            <w:shd w:fill="CCEEFF" w:val="clear"/>
            <w:vAlign w:val="center"/>
          </w:tcPr>
          <w:p>
            <w:pPr>
              <w:pStyle w:val="TableContents"/>
              <w:bidi w:val="0"/>
              <w:spacing w:before="0" w:after="283"/>
              <w:jc w:val="left"/>
              <w:rPr/>
            </w:pPr>
            <w:r>
              <w:rPr/>
              <w:t> </w:t>
            </w:r>
            <w:bookmarkStart w:id="41" w:name="xdx_403_eus-gaap--ReceivablesNetCurrent_"/>
            <w:bookmarkEnd w:id="41"/>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Gold-denominated receivable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42" w:name="xdx_406_eus-gaap--OtherAssetsCurrent_i02"/>
            <w:bookmarkEnd w:id="42"/>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 held for sale – restricted gold</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23,472</w:t>
            </w:r>
          </w:p>
        </w:tc>
        <w:tc>
          <w:tcPr>
            <w:tcW w:w="112" w:type="dxa"/>
            <w:tcBorders/>
            <w:shd w:fill="CCEEFF" w:val="clear"/>
            <w:vAlign w:val="center"/>
          </w:tcPr>
          <w:p>
            <w:pPr>
              <w:pStyle w:val="TableContents"/>
              <w:bidi w:val="0"/>
              <w:spacing w:before="0" w:after="283"/>
              <w:jc w:val="left"/>
              <w:rPr/>
            </w:pPr>
            <w:r>
              <w:rPr/>
              <w:t> </w:t>
            </w:r>
            <w:bookmarkStart w:id="43" w:name="xdx_40C_eus-gaap--OtherAssetsCurrent_i02"/>
            <w:bookmarkEnd w:id="43"/>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 held for sale – gold</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2" w:type="dxa"/>
            <w:tcBorders/>
            <w:shd w:fill="FFFFFF" w:val="clear"/>
            <w:vAlign w:val="center"/>
          </w:tcPr>
          <w:p>
            <w:pPr>
              <w:pStyle w:val="TableContents"/>
              <w:bidi w:val="0"/>
              <w:spacing w:before="0" w:after="283"/>
              <w:jc w:val="left"/>
              <w:rPr/>
            </w:pPr>
            <w:r>
              <w:rPr/>
              <w:t> </w:t>
            </w:r>
            <w:bookmarkStart w:id="44" w:name="xdx_407_eus-gaap--PrepaidExpenseCurrent_"/>
            <w:bookmarkEnd w:id="44"/>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17,401</w:t>
            </w:r>
          </w:p>
        </w:tc>
        <w:tc>
          <w:tcPr>
            <w:tcW w:w="112" w:type="dxa"/>
            <w:tcBorders/>
            <w:shd w:fill="CCEEFF" w:val="clear"/>
            <w:vAlign w:val="center"/>
          </w:tcPr>
          <w:p>
            <w:pPr>
              <w:pStyle w:val="TableContents"/>
              <w:bidi w:val="0"/>
              <w:spacing w:before="0" w:after="283"/>
              <w:jc w:val="left"/>
              <w:rPr/>
            </w:pPr>
            <w:r>
              <w:rPr/>
              <w:t> </w:t>
            </w:r>
            <w:bookmarkStart w:id="45" w:name="xdx_409_ecustom--InvestmentMeasuredAtNet"/>
            <w:bookmarkEnd w:id="45"/>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measured at NAV</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46" w:name="xdx_40A_eus-gaap--AssetsCurrent_i02TI_mt"/>
            <w:bookmarkEnd w:id="46"/>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71,895</w:t>
            </w:r>
          </w:p>
        </w:tc>
        <w:tc>
          <w:tcPr>
            <w:tcW w:w="112" w:type="dxa"/>
            <w:tcBorders/>
            <w:shd w:fill="CCEEFF" w:val="clear"/>
            <w:vAlign w:val="center"/>
          </w:tcPr>
          <w:p>
            <w:pPr>
              <w:pStyle w:val="TableContents"/>
              <w:bidi w:val="0"/>
              <w:spacing w:before="0" w:after="283"/>
              <w:jc w:val="left"/>
              <w:rPr/>
            </w:pPr>
            <w:r>
              <w:rPr/>
              <w:t> </w:t>
            </w:r>
            <w:bookmarkStart w:id="47" w:name="xdx_406_eus-gaap--AssetsNoncurrentAbstra"/>
            <w:bookmarkEnd w:id="47"/>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8" w:name="xdx_40D_eus-gaap--OtherAssetsNoncurrent_"/>
            <w:bookmarkEnd w:id="48"/>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 held at cost – gold</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49" w:name="xdx_403_eus-gaap--IntangibleAssetsNetExc"/>
            <w:bookmarkEnd w:id="49"/>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44,639</w:t>
            </w:r>
          </w:p>
        </w:tc>
        <w:tc>
          <w:tcPr>
            <w:tcW w:w="112" w:type="dxa"/>
            <w:tcBorders/>
            <w:shd w:fill="FFFFFF" w:val="clear"/>
            <w:vAlign w:val="center"/>
          </w:tcPr>
          <w:p>
            <w:pPr>
              <w:pStyle w:val="TableContents"/>
              <w:bidi w:val="0"/>
              <w:spacing w:before="0" w:after="283"/>
              <w:jc w:val="left"/>
              <w:rPr/>
            </w:pPr>
            <w:r>
              <w:rPr/>
              <w:t> </w:t>
            </w:r>
            <w:bookmarkStart w:id="50" w:name="xdx_40F_eus-gaap--Goodwill_i02I_maANzXN3"/>
            <w:bookmarkEnd w:id="50"/>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70,984</w:t>
            </w:r>
          </w:p>
        </w:tc>
        <w:tc>
          <w:tcPr>
            <w:tcW w:w="112" w:type="dxa"/>
            <w:tcBorders/>
            <w:shd w:fill="CCEEFF" w:val="clear"/>
            <w:vAlign w:val="center"/>
          </w:tcPr>
          <w:p>
            <w:pPr>
              <w:pStyle w:val="TableContents"/>
              <w:bidi w:val="0"/>
              <w:spacing w:before="0" w:after="283"/>
              <w:jc w:val="left"/>
              <w:rPr/>
            </w:pPr>
            <w:r>
              <w:rPr/>
              <w:t> </w:t>
            </w:r>
            <w:bookmarkStart w:id="51" w:name="xdx_400_eus-gaap--OperatingLeaseRightOfU"/>
            <w:bookmarkEnd w:id="51"/>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52" w:name="xdx_407_eus-gaap--PropertyPlantAndEquipm"/>
            <w:bookmarkEnd w:id="52"/>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12" w:type="dxa"/>
            <w:tcBorders/>
            <w:shd w:fill="CCEEFF" w:val="clear"/>
            <w:vAlign w:val="center"/>
          </w:tcPr>
          <w:p>
            <w:pPr>
              <w:pStyle w:val="TableContents"/>
              <w:bidi w:val="0"/>
              <w:spacing w:before="0" w:after="283"/>
              <w:jc w:val="left"/>
              <w:rPr/>
            </w:pPr>
            <w:r>
              <w:rPr/>
              <w:t> </w:t>
            </w:r>
            <w:bookmarkStart w:id="53" w:name="xdx_406_eus-gaap--AssetsNoncurrent_i01TI"/>
            <w:bookmarkEnd w:id="53"/>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115,648</w:t>
            </w:r>
          </w:p>
        </w:tc>
        <w:tc>
          <w:tcPr>
            <w:tcW w:w="112" w:type="dxa"/>
            <w:tcBorders/>
            <w:shd w:fill="FFFFFF" w:val="clear"/>
            <w:vAlign w:val="center"/>
          </w:tcPr>
          <w:p>
            <w:pPr>
              <w:pStyle w:val="TableContents"/>
              <w:bidi w:val="0"/>
              <w:spacing w:before="0" w:after="283"/>
              <w:jc w:val="left"/>
              <w:rPr/>
            </w:pPr>
            <w:r>
              <w:rPr/>
              <w:t> </w:t>
            </w:r>
            <w:bookmarkStart w:id="54" w:name="xdx_405_eus-gaap--Assets_i01TI_mtAzP5E_z"/>
            <w:bookmarkEnd w:id="54"/>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159,584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187,543</w:t>
            </w:r>
          </w:p>
        </w:tc>
        <w:tc>
          <w:tcPr>
            <w:tcW w:w="112" w:type="dxa"/>
            <w:tcBorders/>
            <w:shd w:fill="CCEEFF" w:val="clear"/>
            <w:vAlign w:val="center"/>
          </w:tcPr>
          <w:p>
            <w:pPr>
              <w:pStyle w:val="TableContents"/>
              <w:bidi w:val="0"/>
              <w:spacing w:before="0" w:after="283"/>
              <w:jc w:val="left"/>
              <w:rPr/>
            </w:pPr>
            <w:r>
              <w:rPr/>
              <w:t> </w:t>
            </w:r>
          </w:p>
        </w:tc>
      </w:tr>
      <w:tr>
        <w:trPr/>
        <w:tc>
          <w:tcPr>
            <w:tcW w:w="7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5" w:name="xdx_40E_eus-gaap--LiabilitiesAndStockhol"/>
            <w:bookmarkEnd w:id="55"/>
          </w:p>
        </w:tc>
      </w:tr>
      <w:tr>
        <w:trPr/>
        <w:tc>
          <w:tcPr>
            <w:tcW w:w="7558"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MEZZANINE EQUITY AND STOCKHOLDERS’ EQUITY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6" w:name="xdx_403_eus-gaap--LiabilitiesCurrentAbst"/>
            <w:bookmarkEnd w:id="56"/>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7" w:name="xdx_40A_eus-gaap--AccountsPayableAndAccr"/>
            <w:bookmarkEnd w:id="57"/>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2,952</w:t>
            </w:r>
          </w:p>
        </w:tc>
        <w:tc>
          <w:tcPr>
            <w:tcW w:w="112" w:type="dxa"/>
            <w:tcBorders/>
            <w:shd w:fill="CCEEFF" w:val="clear"/>
            <w:vAlign w:val="center"/>
          </w:tcPr>
          <w:p>
            <w:pPr>
              <w:pStyle w:val="TableContents"/>
              <w:bidi w:val="0"/>
              <w:spacing w:before="0" w:after="283"/>
              <w:jc w:val="left"/>
              <w:rPr/>
            </w:pPr>
            <w:r>
              <w:rPr/>
              <w:t> </w:t>
            </w:r>
            <w:bookmarkStart w:id="58" w:name="xdx_407_eus-gaap--OperatingLeaseLiabilit"/>
            <w:bookmarkEnd w:id="58"/>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short term</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59" w:name="xdx_401_eus-gaap--DividendsPayableCurren"/>
            <w:bookmarkEnd w:id="59"/>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 payable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w:t>
            </w:r>
          </w:p>
        </w:tc>
        <w:tc>
          <w:tcPr>
            <w:tcW w:w="112" w:type="dxa"/>
            <w:tcBorders/>
            <w:shd w:fill="CCEEFF" w:val="clear"/>
            <w:vAlign w:val="center"/>
          </w:tcPr>
          <w:p>
            <w:pPr>
              <w:pStyle w:val="TableContents"/>
              <w:bidi w:val="0"/>
              <w:spacing w:before="0" w:after="283"/>
              <w:jc w:val="left"/>
              <w:rPr/>
            </w:pPr>
            <w:r>
              <w:rPr/>
              <w:t> </w:t>
            </w:r>
            <w:bookmarkStart w:id="60" w:name="xdx_408_eus-gaap--ConvertibleDebtCurrent"/>
            <w:bookmarkEnd w:id="60"/>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debentures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38,021</w:t>
            </w:r>
          </w:p>
        </w:tc>
        <w:tc>
          <w:tcPr>
            <w:tcW w:w="112" w:type="dxa"/>
            <w:tcBorders/>
            <w:shd w:fill="FFFFFF" w:val="clear"/>
            <w:vAlign w:val="center"/>
          </w:tcPr>
          <w:p>
            <w:pPr>
              <w:pStyle w:val="TableContents"/>
              <w:bidi w:val="0"/>
              <w:spacing w:before="0" w:after="283"/>
              <w:jc w:val="left"/>
              <w:rPr/>
            </w:pPr>
            <w:r>
              <w:rPr/>
              <w:t> </w:t>
            </w:r>
            <w:bookmarkStart w:id="61" w:name="xdx_402_eus-gaap--DerivativeLiabilitiesC"/>
            <w:bookmarkEnd w:id="61"/>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Embedded derivative liability</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w:t>
            </w:r>
          </w:p>
        </w:tc>
        <w:tc>
          <w:tcPr>
            <w:tcW w:w="112" w:type="dxa"/>
            <w:tcBorders/>
            <w:shd w:fill="CCEEFF" w:val="clear"/>
            <w:vAlign w:val="center"/>
          </w:tcPr>
          <w:p>
            <w:pPr>
              <w:pStyle w:val="TableContents"/>
              <w:bidi w:val="0"/>
              <w:spacing w:before="0" w:after="283"/>
              <w:jc w:val="left"/>
              <w:rPr/>
            </w:pPr>
            <w:r>
              <w:rPr/>
              <w:t> </w:t>
            </w:r>
            <w:bookmarkStart w:id="62" w:name="xdx_40F_eus-gaap--LiabilitiesCurrent_i02"/>
            <w:bookmarkEnd w:id="62"/>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42,794</w:t>
            </w:r>
          </w:p>
        </w:tc>
        <w:tc>
          <w:tcPr>
            <w:tcW w:w="112" w:type="dxa"/>
            <w:tcBorders/>
            <w:shd w:fill="FFFFFF" w:val="clear"/>
            <w:vAlign w:val="center"/>
          </w:tcPr>
          <w:p>
            <w:pPr>
              <w:pStyle w:val="TableContents"/>
              <w:bidi w:val="0"/>
              <w:spacing w:before="0" w:after="283"/>
              <w:jc w:val="left"/>
              <w:rPr/>
            </w:pPr>
            <w:r>
              <w:rPr/>
              <w:t> </w:t>
            </w:r>
            <w:bookmarkStart w:id="63" w:name="xdx_40D_eus-gaap--LiabilitiesNoncurrentA"/>
            <w:bookmarkEnd w:id="63"/>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4" w:name="xdx_406_eus-gaap--OperatingLeaseLiabilit"/>
            <w:bookmarkEnd w:id="64"/>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long term</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65" w:name="xdx_40A_eus-gaap--DeferredIncomeTaxLiabi"/>
            <w:bookmarkEnd w:id="65"/>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11,421</w:t>
            </w:r>
          </w:p>
        </w:tc>
        <w:tc>
          <w:tcPr>
            <w:tcW w:w="112" w:type="dxa"/>
            <w:tcBorders/>
            <w:shd w:fill="CCEEFF" w:val="clear"/>
            <w:vAlign w:val="center"/>
          </w:tcPr>
          <w:p>
            <w:pPr>
              <w:pStyle w:val="TableContents"/>
              <w:bidi w:val="0"/>
              <w:spacing w:before="0" w:after="283"/>
              <w:jc w:val="left"/>
              <w:rPr/>
            </w:pPr>
            <w:r>
              <w:rPr/>
              <w:t> </w:t>
            </w:r>
            <w:bookmarkStart w:id="66" w:name="xdx_40C_eus-gaap--Liabilities_i01TI_maLA"/>
            <w:bookmarkEnd w:id="66"/>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54,215</w:t>
            </w:r>
          </w:p>
        </w:tc>
        <w:tc>
          <w:tcPr>
            <w:tcW w:w="112" w:type="dxa"/>
            <w:tcBorders/>
            <w:shd w:fill="FFFFFF" w:val="clear"/>
            <w:vAlign w:val="center"/>
          </w:tcPr>
          <w:p>
            <w:pPr>
              <w:pStyle w:val="TableContents"/>
              <w:bidi w:val="0"/>
              <w:spacing w:before="0" w:after="283"/>
              <w:jc w:val="left"/>
              <w:rPr/>
            </w:pPr>
            <w:r>
              <w:rPr/>
              <w:t> </w:t>
            </w:r>
          </w:p>
        </w:tc>
      </w:tr>
      <w:tr>
        <w:trPr/>
        <w:tc>
          <w:tcPr>
            <w:tcW w:w="75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7" w:name="xdx_405_eus-gaap--CommitmentsAndContinge"/>
            <w:bookmarkEnd w:id="67"/>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19)</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112" w:type="dxa"/>
            <w:tcBorders/>
            <w:shd w:fill="FFFFFF" w:val="clear"/>
            <w:vAlign w:val="center"/>
          </w:tcPr>
          <w:p>
            <w:pPr>
              <w:pStyle w:val="TableContents"/>
              <w:bidi w:val="0"/>
              <w:spacing w:before="0" w:after="283"/>
              <w:jc w:val="left"/>
              <w:rPr/>
            </w:pPr>
            <w:r>
              <w:rPr/>
              <w:t> </w:t>
            </w:r>
          </w:p>
        </w:tc>
      </w:tr>
      <w:tr>
        <w:trPr/>
        <w:tc>
          <w:tcPr>
            <w:tcW w:w="75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8" w:name="xdx_406_eus-gaap--TemporaryEquityAbstrac"/>
            <w:bookmarkEnd w:id="68"/>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Mezzanine equity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9" w:name="xdx_400_eus-gaap--TemporaryEquityCarryin"/>
            <w:bookmarkEnd w:id="69"/>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Redeemable Series C 9% Convertible Preferred Stock, $</w:t>
            </w:r>
            <w:bookmarkStart w:id="70" w:name="xdx_906_eus-gaap--TemporaryEquityParOrSt"/>
            <w:bookmarkStart w:id="71" w:name="xdx_909_eus-gaap--TemporaryEquityParOrSt"/>
            <w:bookmarkEnd w:id="70"/>
            <w:bookmarkEnd w:id="71"/>
            <w:r>
              <w:rPr>
                <w:rFonts w:ascii="Times New Roman;Times;Serif" w:hAnsi="Times New Roman;Times;Serif"/>
              </w:rPr>
              <w:t>0.001 par value, $</w:t>
            </w:r>
            <w:bookmarkStart w:id="72" w:name="xdx_904_eus-gaap--TemporaryEquityValueEx"/>
            <w:bookmarkStart w:id="73" w:name="xdx_908_eus-gaap--TemporaryEquityValueEx"/>
            <w:bookmarkEnd w:id="72"/>
            <w:bookmarkEnd w:id="73"/>
            <w:r>
              <w:rPr>
                <w:rFonts w:ascii="Times New Roman;Times;Serif" w:hAnsi="Times New Roman;Times;Serif"/>
              </w:rPr>
              <w:t xml:space="preserve">1,000 stated value, authorized </w:t>
            </w:r>
            <w:bookmarkStart w:id="74" w:name="xdx_901_eus-gaap--TemporaryEquitySharesA"/>
            <w:bookmarkStart w:id="75" w:name="xdx_908_eus-gaap--TemporaryEquitySharesA"/>
            <w:bookmarkEnd w:id="74"/>
            <w:bookmarkEnd w:id="75"/>
            <w:r>
              <w:rPr>
                <w:rFonts w:ascii="Times New Roman;Times;Serif" w:hAnsi="Times New Roman;Times;Serif"/>
              </w:rPr>
              <w:t xml:space="preserve">4,200 shares, </w:t>
            </w:r>
            <w:bookmarkStart w:id="76" w:name="xdx_905_eus-gaap--TemporaryEquitySharesO"/>
            <w:bookmarkStart w:id="77" w:name="xdx_902_eus-gaap--TemporaryEquitySharesI"/>
            <w:bookmarkStart w:id="78" w:name="xdx_904_eus-gaap--TemporaryEquitySharesO"/>
            <w:bookmarkStart w:id="79" w:name="xdx_901_eus-gaap--TemporaryEquitySharesI"/>
            <w:bookmarkEnd w:id="76"/>
            <w:bookmarkEnd w:id="77"/>
            <w:bookmarkEnd w:id="78"/>
            <w:bookmarkEnd w:id="79"/>
            <w:r>
              <w:rPr>
                <w:rFonts w:ascii="Times New Roman;Times;Serif" w:hAnsi="Times New Roman;Times;Serif"/>
              </w:rPr>
              <w:t>105 shares issued and outstanding; (liquidation preference of $</w:t>
            </w:r>
            <w:bookmarkStart w:id="80" w:name="xdx_908_eus-gaap--TemporaryEquityLiquida"/>
            <w:bookmarkStart w:id="81" w:name="xdx_90F_eus-gaap--TemporaryEquityLiquida"/>
            <w:bookmarkEnd w:id="80"/>
            <w:bookmarkEnd w:id="81"/>
            <w:r>
              <w:rPr>
                <w:rFonts w:ascii="Times New Roman;Times;Serif" w:hAnsi="Times New Roman;Times;Serif"/>
              </w:rPr>
              <w:t>105; cumulative dividends payable of $</w:t>
            </w:r>
            <w:bookmarkStart w:id="82" w:name="xdx_905_eus-gaap--CumulativeDividends_iI"/>
            <w:bookmarkEnd w:id="82"/>
            <w:r>
              <w:rPr>
                <w:rFonts w:ascii="Times New Roman;Times;Serif" w:hAnsi="Times New Roman;Times;Serif"/>
              </w:rPr>
              <w:t>126 and $</w:t>
            </w:r>
            <w:bookmarkStart w:id="83" w:name="xdx_90F_eus-gaap--CumulativeDividends_iI"/>
            <w:bookmarkEnd w:id="83"/>
            <w:r>
              <w:rPr>
                <w:rFonts w:ascii="Times New Roman;Times;Serif" w:hAnsi="Times New Roman;Times;Serif"/>
              </w:rPr>
              <w:t>121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112" w:type="dxa"/>
            <w:tcBorders/>
            <w:shd w:fill="CCEEFF" w:val="clear"/>
            <w:vAlign w:val="center"/>
          </w:tcPr>
          <w:p>
            <w:pPr>
              <w:pStyle w:val="TableContents"/>
              <w:bidi w:val="0"/>
              <w:spacing w:before="0" w:after="283"/>
              <w:jc w:val="left"/>
              <w:rPr/>
            </w:pPr>
            <w:r>
              <w:rPr/>
              <w:t> </w:t>
            </w:r>
          </w:p>
        </w:tc>
      </w:tr>
      <w:tr>
        <w:trPr/>
        <w:tc>
          <w:tcPr>
            <w:tcW w:w="7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4" w:name="xdx_408_eus-gaap--StockholdersEquityAbst"/>
            <w:bookmarkEnd w:id="84"/>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85" w:name="xdx_405_eus-gaap--PreferredStockValue_i0"/>
            <w:bookmarkEnd w:id="85"/>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w:t>
            </w:r>
            <w:bookmarkStart w:id="86" w:name="xdx_90E_eus-gaap--PreferredStockParOrSta"/>
            <w:bookmarkStart w:id="87" w:name="xdx_900_eus-gaap--PreferredStockParOrSta"/>
            <w:bookmarkEnd w:id="86"/>
            <w:bookmarkEnd w:id="87"/>
            <w:r>
              <w:rPr>
                <w:rFonts w:ascii="Times New Roman;Times;Serif" w:hAnsi="Times New Roman;Times;Serif"/>
              </w:rPr>
              <w:t xml:space="preserve">0.001 par value, authorized </w:t>
            </w:r>
            <w:bookmarkStart w:id="88" w:name="xdx_908_eus-gaap--PreferredStockSharesAu"/>
            <w:bookmarkStart w:id="89" w:name="xdx_909_eus-gaap--PreferredStockSharesAu"/>
            <w:bookmarkEnd w:id="88"/>
            <w:bookmarkEnd w:id="89"/>
            <w:r>
              <w:rPr>
                <w:rFonts w:ascii="Times New Roman;Times;Serif" w:hAnsi="Times New Roman;Times;Serif"/>
              </w:rPr>
              <w:t xml:space="preserve">1,000,000 shares, designated </w:t>
            </w:r>
            <w:bookmarkStart w:id="90" w:name="xdx_90F_eus-gaap--PreferredStockSharesAu"/>
            <w:bookmarkStart w:id="91" w:name="xdx_909_eus-gaap--PreferredStockSharesAu"/>
            <w:bookmarkEnd w:id="90"/>
            <w:bookmarkEnd w:id="91"/>
            <w:r>
              <w:rPr>
                <w:rFonts w:ascii="Times New Roman;Times;Serif" w:hAnsi="Times New Roman;Times;Serif"/>
              </w:rPr>
              <w:t xml:space="preserve">200 shares of Series A, </w:t>
            </w:r>
            <w:bookmarkStart w:id="92" w:name="xdx_90D_eus-gaap--PreferredStockSharesAu"/>
            <w:bookmarkStart w:id="93" w:name="xdx_90F_eus-gaap--PreferredStockSharesAu"/>
            <w:bookmarkEnd w:id="92"/>
            <w:bookmarkEnd w:id="93"/>
            <w:r>
              <w:rPr>
                <w:rFonts w:ascii="Times New Roman;Times;Serif" w:hAnsi="Times New Roman;Times;Serif"/>
              </w:rPr>
              <w:t xml:space="preserve">600 shares of Series B, </w:t>
            </w:r>
            <w:bookmarkStart w:id="94" w:name="xdx_907_eus-gaap--PreferredStockSharesAu"/>
            <w:bookmarkStart w:id="95" w:name="xdx_900_eus-gaap--PreferredStockSharesAu"/>
            <w:bookmarkEnd w:id="94"/>
            <w:bookmarkEnd w:id="95"/>
            <w:r>
              <w:rPr>
                <w:rFonts w:ascii="Times New Roman;Times;Serif" w:hAnsi="Times New Roman;Times;Serif"/>
              </w:rPr>
              <w:t xml:space="preserve">4,200 shares of Series C, </w:t>
            </w:r>
            <w:bookmarkStart w:id="96" w:name="xdx_909_eus-gaap--PreferredStockSharesAu"/>
            <w:bookmarkStart w:id="97" w:name="xdx_906_eus-gaap--PreferredStockSharesAu"/>
            <w:bookmarkEnd w:id="96"/>
            <w:bookmarkEnd w:id="97"/>
            <w:r>
              <w:rPr>
                <w:rFonts w:ascii="Times New Roman;Times;Serif" w:hAnsi="Times New Roman;Times;Serif"/>
              </w:rPr>
              <w:t xml:space="preserve">1,400 shares of Series D, </w:t>
            </w:r>
            <w:bookmarkStart w:id="98" w:name="xdx_902_eus-gaap--PreferredStockSharesAu"/>
            <w:bookmarkStart w:id="99" w:name="xdx_90C_eus-gaap--PreferredStockSharesAu"/>
            <w:bookmarkEnd w:id="98"/>
            <w:bookmarkEnd w:id="99"/>
            <w:r>
              <w:rPr>
                <w:rFonts w:ascii="Times New Roman;Times;Serif" w:hAnsi="Times New Roman;Times;Serif"/>
              </w:rPr>
              <w:t xml:space="preserve">1,000 shares of Series E, </w:t>
            </w:r>
            <w:bookmarkStart w:id="100" w:name="xdx_903_eus-gaap--PreferredStockSharesAu"/>
            <w:bookmarkStart w:id="101" w:name="xdx_90F_eus-gaap--PreferredStockSharesAu"/>
            <w:bookmarkEnd w:id="100"/>
            <w:bookmarkEnd w:id="101"/>
            <w:r>
              <w:rPr>
                <w:rFonts w:ascii="Times New Roman;Times;Serif" w:hAnsi="Times New Roman;Times;Serif"/>
              </w:rPr>
              <w:t xml:space="preserve">200,000 shares of Series F Preferred Stock and </w:t>
            </w:r>
            <w:bookmarkStart w:id="102" w:name="xdx_90E_eus-gaap--PreferredStockVotingRi"/>
            <w:bookmarkStart w:id="103" w:name="xdx_904_eus-gaap--PreferredStockVotingRi"/>
            <w:bookmarkEnd w:id="102"/>
            <w:bookmarkEnd w:id="103"/>
            <w:r>
              <w:rPr>
                <w:rFonts w:ascii="Times New Roman;Times;Serif" w:hAnsi="Times New Roman;Times;Serif"/>
              </w:rPr>
              <w:t>1 Special Voting Preferred Stock.</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104" w:name="xdx_400_eus-gaap--CommonStockValue_i01I_"/>
            <w:bookmarkEnd w:id="104"/>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105" w:name="xdx_906_eus-gaap--CommonStockParOrStated"/>
            <w:bookmarkStart w:id="106" w:name="xdx_90A_eus-gaap--CommonStockParOrStated"/>
            <w:bookmarkEnd w:id="105"/>
            <w:bookmarkEnd w:id="106"/>
            <w:r>
              <w:rPr>
                <w:rFonts w:ascii="Times New Roman;Times;Serif" w:hAnsi="Times New Roman;Times;Serif"/>
              </w:rPr>
              <w:t xml:space="preserve">0.001 par value, authorized </w:t>
            </w:r>
            <w:bookmarkStart w:id="107" w:name="xdx_90E_eus-gaap--CommonStockSharesAutho"/>
            <w:bookmarkStart w:id="108" w:name="xdx_906_eus-gaap--CommonStockSharesAutho"/>
            <w:bookmarkEnd w:id="107"/>
            <w:bookmarkEnd w:id="108"/>
            <w:r>
              <w:rPr>
                <w:rFonts w:ascii="Times New Roman;Times;Serif" w:hAnsi="Times New Roman;Times;Serif"/>
              </w:rPr>
              <w:t xml:space="preserve">500,000,000 shares, </w:t>
            </w:r>
            <w:bookmarkStart w:id="109" w:name="xdx_909_eus-gaap--CommonStockSharesOutst"/>
            <w:bookmarkStart w:id="110" w:name="xdx_903_eus-gaap--CommonStockSharesIssue"/>
            <w:bookmarkEnd w:id="109"/>
            <w:bookmarkEnd w:id="110"/>
            <w:r>
              <w:rPr>
                <w:rFonts w:ascii="Times New Roman;Times;Serif" w:hAnsi="Times New Roman;Times;Serif"/>
              </w:rPr>
              <w:t xml:space="preserve">112,622,795 and </w:t>
            </w:r>
            <w:bookmarkStart w:id="111" w:name="xdx_909_eus-gaap--CommonStockSharesOutst"/>
            <w:bookmarkStart w:id="112" w:name="xdx_903_eus-gaap--CommonStockSharesIssue"/>
            <w:bookmarkEnd w:id="111"/>
            <w:bookmarkEnd w:id="112"/>
            <w:r>
              <w:rPr>
                <w:rFonts w:ascii="Times New Roman;Times;Serif" w:hAnsi="Times New Roman;Times;Serif"/>
              </w:rPr>
              <w:t>49,805,275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12" w:type="dxa"/>
            <w:tcBorders/>
            <w:shd w:fill="CCEEFF" w:val="clear"/>
            <w:vAlign w:val="center"/>
          </w:tcPr>
          <w:p>
            <w:pPr>
              <w:pStyle w:val="TableContents"/>
              <w:bidi w:val="0"/>
              <w:spacing w:before="0" w:after="283"/>
              <w:jc w:val="left"/>
              <w:rPr/>
            </w:pPr>
            <w:r>
              <w:rPr/>
              <w:t> </w:t>
            </w:r>
            <w:bookmarkStart w:id="113" w:name="xdx_401_eus-gaap--AdditionalPaidInCapita"/>
            <w:bookmarkEnd w:id="113"/>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paid-in-capital</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850,447</w:t>
            </w:r>
          </w:p>
        </w:tc>
        <w:tc>
          <w:tcPr>
            <w:tcW w:w="112" w:type="dxa"/>
            <w:tcBorders/>
            <w:shd w:fill="FFFFFF" w:val="clear"/>
            <w:vAlign w:val="center"/>
          </w:tcPr>
          <w:p>
            <w:pPr>
              <w:pStyle w:val="TableContents"/>
              <w:bidi w:val="0"/>
              <w:spacing w:before="0" w:after="283"/>
              <w:jc w:val="left"/>
              <w:rPr/>
            </w:pPr>
            <w:r>
              <w:rPr/>
              <w:t> </w:t>
            </w:r>
            <w:bookmarkStart w:id="114" w:name="xdx_40C_eus-gaap--AccumulatedOtherCompre"/>
            <w:bookmarkEnd w:id="114"/>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w:t>
            </w:r>
          </w:p>
        </w:tc>
        <w:tc>
          <w:tcPr>
            <w:tcW w:w="112" w:type="dxa"/>
            <w:tcBorders/>
            <w:shd w:fill="CCEEFF" w:val="clear"/>
            <w:vAlign w:val="center"/>
          </w:tcPr>
          <w:p>
            <w:pPr>
              <w:pStyle w:val="TableContents"/>
              <w:bidi w:val="0"/>
              <w:spacing w:before="0" w:after="283"/>
              <w:jc w:val="left"/>
              <w:rPr/>
            </w:pPr>
            <w:r>
              <w:rPr/>
              <w:t> </w:t>
            </w:r>
            <w:bookmarkStart w:id="115" w:name="xdx_405_eus-gaap--RetainedEarningsAccumu"/>
            <w:bookmarkEnd w:id="115"/>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(779,365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(718,120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 w:name="xdx_404_eus-gaap--StockholdersEquity_i01"/>
            <w:bookmarkEnd w:id="116"/>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 attributable to Streamex Corp.</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145,614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133,191</w:t>
            </w:r>
          </w:p>
        </w:tc>
        <w:tc>
          <w:tcPr>
            <w:tcW w:w="112" w:type="dxa"/>
            <w:tcBorders/>
            <w:shd w:fill="CCEEFF" w:val="clear"/>
            <w:vAlign w:val="center"/>
          </w:tcPr>
          <w:p>
            <w:pPr>
              <w:pStyle w:val="TableContents"/>
              <w:bidi w:val="0"/>
              <w:spacing w:before="0" w:after="283"/>
              <w:jc w:val="left"/>
              <w:rPr/>
            </w:pPr>
            <w:r>
              <w:rPr/>
              <w:t> </w:t>
            </w:r>
            <w:bookmarkStart w:id="117" w:name="xdx_407_eus-gaap--MinorityInterest_i01I_"/>
            <w:bookmarkEnd w:id="117"/>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Noncontrolling interest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112" w:type="dxa"/>
            <w:tcBorders/>
            <w:shd w:fill="FFFFFF" w:val="clear"/>
            <w:vAlign w:val="center"/>
          </w:tcPr>
          <w:p>
            <w:pPr>
              <w:pStyle w:val="TableContents"/>
              <w:bidi w:val="0"/>
              <w:spacing w:before="0" w:after="283"/>
              <w:jc w:val="left"/>
              <w:rPr/>
            </w:pPr>
            <w:r>
              <w:rPr/>
              <w:t> </w:t>
            </w:r>
            <w:bookmarkStart w:id="118" w:name="xdx_404_eus-gaap--StockholdersEquityIncl"/>
            <w:bookmarkEnd w:id="118"/>
          </w:p>
        </w:tc>
      </w:tr>
      <w:tr>
        <w:trPr/>
        <w:tc>
          <w:tcPr>
            <w:tcW w:w="75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133,223</w:t>
            </w:r>
          </w:p>
        </w:tc>
        <w:tc>
          <w:tcPr>
            <w:tcW w:w="112" w:type="dxa"/>
            <w:tcBorders/>
            <w:shd w:fill="CCEEFF" w:val="clear"/>
            <w:vAlign w:val="center"/>
          </w:tcPr>
          <w:p>
            <w:pPr>
              <w:pStyle w:val="TableContents"/>
              <w:bidi w:val="0"/>
              <w:spacing w:before="0" w:after="283"/>
              <w:jc w:val="left"/>
              <w:rPr/>
            </w:pPr>
            <w:r>
              <w:rPr/>
              <w:t> </w:t>
            </w:r>
            <w:bookmarkStart w:id="119" w:name="xdx_40B_eus-gaap--LiabilitiesAndStockhol"/>
            <w:bookmarkEnd w:id="119"/>
          </w:p>
        </w:tc>
      </w:tr>
      <w:tr>
        <w:trPr/>
        <w:tc>
          <w:tcPr>
            <w:tcW w:w="755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159,584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187,543</w:t>
            </w:r>
          </w:p>
        </w:tc>
        <w:tc>
          <w:tcPr>
            <w:tcW w:w="112"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20" w:name="a_004"/>
      <w:bookmarkEnd w:id="120"/>
      <w:r>
        <w:rPr>
          <w:rFonts w:ascii="Times New Roman;Times;Serif" w:hAnsi="Times New Roman;Times;Serif"/>
          <w:b/>
          <w:i w:val="false"/>
          <w:caps w:val="false"/>
          <w:smallCaps w:val="false"/>
          <w:sz w:val="20"/>
        </w:rPr>
        <w:t>CONDENSED CONSOLIDATED STATEMENTS OF OPERATIONS AND COMPREHENSIVE LOSS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1" w:name="xdx_302_113_pn3n3_zXkhFaIGvjdg"/>
      <w:bookmarkStart w:id="122" w:name="xdx_302_113_pn3n3_zXkhFaIGvjdg"/>
      <w:bookmarkEnd w:id="122"/>
    </w:p>
    <w:tbl>
      <w:tblPr>
        <w:tblW w:w="10205" w:type="dxa"/>
        <w:jc w:val="left"/>
        <w:tblInd w:w="0" w:type="dxa"/>
        <w:tblLayout w:type="fixed"/>
        <w:tblCellMar>
          <w:top w:w="0" w:type="dxa"/>
          <w:left w:w="0" w:type="dxa"/>
          <w:bottom w:w="0" w:type="dxa"/>
          <w:right w:w="0" w:type="dxa"/>
        </w:tblCellMar>
      </w:tblPr>
      <w:tblGrid>
        <w:gridCol w:w="4261"/>
        <w:gridCol w:w="60"/>
        <w:gridCol w:w="145"/>
        <w:gridCol w:w="1268"/>
        <w:gridCol w:w="98"/>
        <w:gridCol w:w="62"/>
        <w:gridCol w:w="145"/>
        <w:gridCol w:w="1143"/>
        <w:gridCol w:w="95"/>
        <w:gridCol w:w="60"/>
        <w:gridCol w:w="140"/>
        <w:gridCol w:w="1220"/>
        <w:gridCol w:w="95"/>
        <w:gridCol w:w="60"/>
        <w:gridCol w:w="140"/>
        <w:gridCol w:w="1100"/>
        <w:gridCol w:w="113"/>
      </w:tblGrid>
      <w:tr>
        <w:trPr/>
        <w:tc>
          <w:tcPr>
            <w:tcW w:w="4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3" w:name="xdx_490_20260401__20260630_zxiises0dS87"/>
            <w:bookmarkEnd w:id="123"/>
          </w:p>
        </w:tc>
        <w:tc>
          <w:tcPr>
            <w:tcW w:w="14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124" w:name="xdx_49D_20250401__20250630_zQRimJrnIrY4"/>
            <w:bookmarkEnd w:id="124"/>
          </w:p>
        </w:tc>
        <w:tc>
          <w:tcPr>
            <w:tcW w:w="12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 w:name="xdx_497_20260101__20260630_zgftqUSKzRna"/>
            <w:bookmarkEnd w:id="125"/>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90_20250101__20250630_zfagx1GFtJV"/>
            <w:bookmarkEnd w:id="126"/>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3" w:type="dxa"/>
            <w:tcBorders/>
            <w:vAlign w:val="center"/>
          </w:tcPr>
          <w:p>
            <w:pPr>
              <w:pStyle w:val="TableContents"/>
              <w:bidi w:val="0"/>
              <w:spacing w:before="0" w:after="283"/>
              <w:jc w:val="left"/>
              <w:rPr/>
            </w:pPr>
            <w:r>
              <w:rPr/>
              <w:t> </w:t>
            </w:r>
          </w:p>
        </w:tc>
      </w:tr>
      <w:tr>
        <w:trPr/>
        <w:tc>
          <w:tcPr>
            <w:tcW w:w="4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1"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113" w:type="dxa"/>
            <w:tcBorders/>
            <w:vAlign w:val="center"/>
          </w:tcPr>
          <w:p>
            <w:pPr>
              <w:pStyle w:val="TableContents"/>
              <w:bidi w:val="0"/>
              <w:spacing w:before="0" w:after="283"/>
              <w:jc w:val="left"/>
              <w:rPr/>
            </w:pPr>
            <w:r>
              <w:rPr/>
              <w:t> </w:t>
            </w:r>
          </w:p>
        </w:tc>
      </w:tr>
      <w:tr>
        <w:trPr/>
        <w:tc>
          <w:tcPr>
            <w:tcW w:w="4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3" w:type="dxa"/>
            <w:tcBorders/>
            <w:vAlign w:val="center"/>
          </w:tcPr>
          <w:p>
            <w:pPr>
              <w:pStyle w:val="TableContents"/>
              <w:bidi w:val="0"/>
              <w:spacing w:before="0" w:after="283"/>
              <w:jc w:val="left"/>
              <w:rPr/>
            </w:pPr>
            <w:r>
              <w:rPr/>
              <w:t> </w:t>
            </w:r>
            <w:bookmarkStart w:id="127" w:name="xdx_40F_eus-gaap--RevenueFromContractWit"/>
            <w:bookmarkEnd w:id="127"/>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Gold lease income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28" w:name="xdx_405_eus-gaap--OperatingExpensesAbstr"/>
            <w:bookmarkEnd w:id="128"/>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9" w:name="xdx_40C_eus-gaap--GeneralAndAdministrati"/>
            <w:bookmarkEnd w:id="129"/>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13,836</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22,773</w:t>
            </w:r>
          </w:p>
        </w:tc>
        <w:tc>
          <w:tcPr>
            <w:tcW w:w="113" w:type="dxa"/>
            <w:tcBorders/>
            <w:shd w:fill="FFFFFF" w:val="clear"/>
            <w:vAlign w:val="center"/>
          </w:tcPr>
          <w:p>
            <w:pPr>
              <w:pStyle w:val="TableContents"/>
              <w:bidi w:val="0"/>
              <w:spacing w:before="0" w:after="283"/>
              <w:jc w:val="left"/>
              <w:rPr/>
            </w:pPr>
            <w:r>
              <w:rPr/>
              <w:t> </w:t>
            </w:r>
            <w:bookmarkStart w:id="130" w:name="xdx_401_eus-gaap--DepreciationAndAmortiz"/>
            <w:bookmarkEnd w:id="130"/>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w:t>
            </w:r>
          </w:p>
        </w:tc>
        <w:tc>
          <w:tcPr>
            <w:tcW w:w="113" w:type="dxa"/>
            <w:tcBorders/>
            <w:shd w:fill="CCEEFF" w:val="clear"/>
            <w:vAlign w:val="center"/>
          </w:tcPr>
          <w:p>
            <w:pPr>
              <w:pStyle w:val="TableContents"/>
              <w:bidi w:val="0"/>
              <w:spacing w:before="0" w:after="283"/>
              <w:jc w:val="left"/>
              <w:rPr/>
            </w:pPr>
            <w:r>
              <w:rPr/>
              <w:t> </w:t>
            </w:r>
            <w:bookmarkStart w:id="131" w:name="xdx_40A_eus-gaap--OperatingExpenses_i01T"/>
            <w:bookmarkEnd w:id="131"/>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23,350</w:t>
            </w:r>
          </w:p>
        </w:tc>
        <w:tc>
          <w:tcPr>
            <w:tcW w:w="113" w:type="dxa"/>
            <w:tcBorders/>
            <w:shd w:fill="FFFFFF" w:val="clear"/>
            <w:vAlign w:val="center"/>
          </w:tcPr>
          <w:p>
            <w:pPr>
              <w:pStyle w:val="TableContents"/>
              <w:bidi w:val="0"/>
              <w:spacing w:before="0" w:after="283"/>
              <w:jc w:val="left"/>
              <w:rPr/>
            </w:pPr>
            <w:r>
              <w:rPr/>
              <w:t> </w:t>
            </w:r>
          </w:p>
        </w:tc>
      </w:tr>
      <w:tr>
        <w:trPr/>
        <w:tc>
          <w:tcPr>
            <w:tcW w:w="4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2" w:name="xdx_409_eus-gaap--OperatingIncomeLoss_iT"/>
            <w:bookmarkEnd w:id="132"/>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(15,161</w:t>
            </w:r>
          </w:p>
        </w:tc>
        <w:tc>
          <w:tcPr>
            <w:tcW w:w="9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(20,365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(50,906</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(23,350</w:t>
            </w:r>
          </w:p>
        </w:tc>
        <w:tc>
          <w:tcPr>
            <w:tcW w:w="11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3" w:name="xdx_404_eus-gaap--NonoperatingIncomeExpe"/>
            <w:bookmarkEnd w:id="133"/>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34" w:name="xdx_409_eus-gaap--InterestIncomeExpenseN"/>
            <w:bookmarkEnd w:id="134"/>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income,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13" w:type="dxa"/>
            <w:tcBorders/>
            <w:shd w:fill="CCEEFF" w:val="clear"/>
            <w:vAlign w:val="center"/>
          </w:tcPr>
          <w:p>
            <w:pPr>
              <w:pStyle w:val="TableContents"/>
              <w:bidi w:val="0"/>
              <w:spacing w:before="0" w:after="283"/>
              <w:jc w:val="left"/>
              <w:rPr/>
            </w:pPr>
            <w:r>
              <w:rPr/>
              <w:t> </w:t>
            </w:r>
            <w:bookmarkStart w:id="135" w:name="xdx_403_eus-gaap--DebtSecuritiesAvailabl"/>
            <w:bookmarkEnd w:id="135"/>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gain on sale of gold</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136" w:name="xdx_409_ecustom--MarketableSecuritiesRea"/>
            <w:bookmarkEnd w:id="136"/>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gain on marketable securities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w:t>
            </w:r>
          </w:p>
        </w:tc>
        <w:tc>
          <w:tcPr>
            <w:tcW w:w="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137" w:name="xdx_401_ecustom--ChangeInFairValueOfMark"/>
            <w:bookmarkEnd w:id="137"/>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marketable securities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138" w:name="xdx_405_ecustom--ChangeInFairValueOfEmbe"/>
            <w:bookmarkEnd w:id="138"/>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embedded derivative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139" w:name="xdx_40F_eus-gaap--GainsLossesOnExtinguis"/>
            <w:bookmarkEnd w:id="139"/>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extinguishment of convertible debentures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140" w:name="xdx_407_ecustom--GainLossOnSettlementAnd"/>
            <w:bookmarkEnd w:id="140"/>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gain on settlement and forgiveness of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113" w:type="dxa"/>
            <w:tcBorders/>
            <w:shd w:fill="CCEEFF" w:val="clear"/>
            <w:vAlign w:val="center"/>
          </w:tcPr>
          <w:p>
            <w:pPr>
              <w:pStyle w:val="TableContents"/>
              <w:bidi w:val="0"/>
              <w:spacing w:before="0" w:after="283"/>
              <w:jc w:val="left"/>
              <w:rPr/>
            </w:pPr>
            <w:r>
              <w:rPr/>
              <w:t> </w:t>
            </w:r>
            <w:bookmarkStart w:id="141" w:name="xdx_404_eus-gaap--OtherNonoperatingIncom"/>
            <w:bookmarkEnd w:id="141"/>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2" w:name="xdx_40D_eus-gaap--NonoperatingIncomeExpe"/>
            <w:bookmarkEnd w:id="142"/>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w:t>
            </w:r>
          </w:p>
        </w:tc>
        <w:tc>
          <w:tcPr>
            <w:tcW w:w="113" w:type="dxa"/>
            <w:tcBorders/>
            <w:shd w:fill="CCEEFF"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3" w:name="xdx_40B_eus-gaap--IncomeLossFromContinui"/>
            <w:bookmarkEnd w:id="143"/>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before income taxes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(15,056</w:t>
            </w:r>
          </w:p>
        </w:tc>
        <w:tc>
          <w:tcPr>
            <w:tcW w:w="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(20,368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(62,315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(23,169</w:t>
            </w:r>
          </w:p>
        </w:tc>
        <w:tc>
          <w:tcPr>
            <w:tcW w:w="11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4" w:name="xdx_402_eus-gaap--IncomeTaxExpenseBenefi"/>
            <w:bookmarkEnd w:id="144"/>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(benefit)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w:t>
            </w:r>
          </w:p>
        </w:tc>
        <w:tc>
          <w:tcPr>
            <w:tcW w:w="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5" w:name="xdx_401_eus-gaap--ProfitLoss_iT_mtPLzVnm"/>
            <w:bookmarkEnd w:id="145"/>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(14,551</w:t>
            </w:r>
          </w:p>
        </w:tc>
        <w:tc>
          <w:tcPr>
            <w:tcW w:w="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(20,368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(61,245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(23,169</w:t>
            </w:r>
          </w:p>
        </w:tc>
        <w:tc>
          <w:tcPr>
            <w:tcW w:w="11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46" w:name="xdx_403_eus-gaap--NetIncomeLossAttributa"/>
            <w:bookmarkEnd w:id="146"/>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3" w:type="dxa"/>
            <w:tcBorders/>
            <w:shd w:fill="FFFFFF" w:val="clear"/>
            <w:vAlign w:val="center"/>
          </w:tcPr>
          <w:p>
            <w:pPr>
              <w:pStyle w:val="TableContents"/>
              <w:bidi w:val="0"/>
              <w:spacing w:before="0" w:after="283"/>
              <w:jc w:val="left"/>
              <w:rPr/>
            </w:pPr>
            <w:r>
              <w:rPr/>
              <w:t> </w:t>
            </w:r>
            <w:bookmarkStart w:id="147" w:name="xdx_400_eus-gaap--NetIncomeLoss_iT_mtNIL"/>
            <w:bookmarkEnd w:id="147"/>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attributable to Streamex Corp.</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(14,552</w:t>
            </w:r>
          </w:p>
        </w:tc>
        <w:tc>
          <w:tcPr>
            <w:tcW w:w="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(20,372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(61,245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(23,185</w:t>
            </w:r>
          </w:p>
        </w:tc>
        <w:tc>
          <w:tcPr>
            <w:tcW w:w="11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8" w:name="xdx_401_eus-gaap--DividendsPreferredStoc"/>
            <w:bookmarkEnd w:id="148"/>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9" w:name="xdx_40F_eus-gaap--NetIncomeLossAvailable"/>
            <w:bookmarkEnd w:id="149"/>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attributed to Streamex Corp. Common Shareholders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(14,554</w:t>
            </w:r>
          </w:p>
        </w:tc>
        <w:tc>
          <w:tcPr>
            <w:tcW w:w="9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(20,374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(61,249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(23,190</w:t>
            </w:r>
          </w:p>
        </w:tc>
        <w:tc>
          <w:tcPr>
            <w:tcW w:w="11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150" w:name="xdx_90D_eus-gaap--EarningsPerShareDilute"/>
            <w:bookmarkStart w:id="151" w:name="xdx_902_eus-gaap--EarningsPerShareBasic_"/>
            <w:bookmarkEnd w:id="150"/>
            <w:bookmarkEnd w:id="151"/>
            <w:r>
              <w:rPr>
                <w:rFonts w:ascii="Times New Roman;Times;Serif" w:hAnsi="Times New Roman;Times;Serif"/>
                <w:b/>
              </w:rPr>
              <w:t>(0.08</w:t>
            </w:r>
          </w:p>
        </w:tc>
        <w:tc>
          <w:tcPr>
            <w:tcW w:w="9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152" w:name="xdx_90F_eus-gaap--EarningsPerShareDilute"/>
            <w:bookmarkStart w:id="153" w:name="xdx_90D_eus-gaap--EarningsPerShareBasic_"/>
            <w:bookmarkEnd w:id="152"/>
            <w:bookmarkEnd w:id="153"/>
            <w:r>
              <w:rPr>
                <w:rFonts w:ascii="Times New Roman;Times;Serif" w:hAnsi="Times New Roman;Times;Serif"/>
                <w:b/>
              </w:rPr>
              <w:t>(0.74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154" w:name="xdx_90E_eus-gaap--EarningsPerShareDilute"/>
            <w:bookmarkStart w:id="155" w:name="xdx_905_eus-gaap--EarningsPerShareBasic_"/>
            <w:bookmarkEnd w:id="154"/>
            <w:bookmarkEnd w:id="155"/>
            <w:r>
              <w:rPr>
                <w:rFonts w:ascii="Times New Roman;Times;Serif" w:hAnsi="Times New Roman;Times;Serif"/>
                <w:b/>
              </w:rPr>
              <w:t>(0.34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156" w:name="xdx_901_eus-gaap--EarningsPerShareDilute"/>
            <w:bookmarkStart w:id="157" w:name="xdx_907_eus-gaap--EarningsPerShareBasic_"/>
            <w:bookmarkEnd w:id="156"/>
            <w:bookmarkEnd w:id="157"/>
            <w:r>
              <w:rPr>
                <w:rFonts w:ascii="Times New Roman;Times;Serif" w:hAnsi="Times New Roman;Times;Serif"/>
                <w:b/>
              </w:rPr>
              <w:t>(0.95</w:t>
            </w:r>
          </w:p>
        </w:tc>
        <w:tc>
          <w:tcPr>
            <w:tcW w:w="11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58" w:name="xdx_907_eus-gaap--WeightedAverageNumberO"/>
            <w:bookmarkStart w:id="159" w:name="xdx_90D_eus-gaap--WeightedAverageNumberO"/>
            <w:bookmarkEnd w:id="158"/>
            <w:bookmarkEnd w:id="159"/>
            <w:r>
              <w:rPr>
                <w:rFonts w:ascii="Times New Roman;Times;Serif" w:hAnsi="Times New Roman;Times;Serif"/>
              </w:rPr>
              <w:t>182,015,405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60" w:name="xdx_90C_eus-gaap--WeightedAverageNumberO"/>
            <w:bookmarkStart w:id="161" w:name="xdx_900_eus-gaap--WeightedAverageNumberO"/>
            <w:bookmarkEnd w:id="160"/>
            <w:bookmarkEnd w:id="161"/>
            <w:r>
              <w:rPr>
                <w:rFonts w:ascii="Times New Roman;Times;Serif" w:hAnsi="Times New Roman;Times;Serif"/>
              </w:rPr>
              <w:t>27,706,780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62" w:name="xdx_904_eus-gaap--WeightedAverageNumberO"/>
            <w:bookmarkStart w:id="163" w:name="xdx_90D_eus-gaap--WeightedAverageNumberO"/>
            <w:bookmarkEnd w:id="162"/>
            <w:bookmarkEnd w:id="163"/>
            <w:r>
              <w:rPr>
                <w:rFonts w:ascii="Times New Roman;Times;Serif" w:hAnsi="Times New Roman;Times;Serif"/>
              </w:rPr>
              <w:t>177,787,337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64" w:name="xdx_904_eus-gaap--WeightedAverageNumberO"/>
            <w:bookmarkStart w:id="165" w:name="xdx_90B_eus-gaap--WeightedAverageNumberO"/>
            <w:bookmarkEnd w:id="164"/>
            <w:bookmarkEnd w:id="165"/>
            <w:r>
              <w:rPr>
                <w:rFonts w:ascii="Times New Roman;Times;Serif" w:hAnsi="Times New Roman;Times;Serif"/>
              </w:rPr>
              <w:t>24,286,234</w:t>
            </w:r>
          </w:p>
        </w:tc>
        <w:tc>
          <w:tcPr>
            <w:tcW w:w="113" w:type="dxa"/>
            <w:tcBorders/>
            <w:shd w:fill="FFFFFF" w:val="clear"/>
            <w:vAlign w:val="center"/>
          </w:tcPr>
          <w:p>
            <w:pPr>
              <w:pStyle w:val="TableContents"/>
              <w:bidi w:val="0"/>
              <w:spacing w:before="0" w:after="283"/>
              <w:jc w:val="left"/>
              <w:rPr/>
            </w:pPr>
            <w:r>
              <w:rPr/>
              <w:t> </w:t>
            </w:r>
          </w:p>
        </w:tc>
      </w:tr>
      <w:tr>
        <w:trPr/>
        <w:tc>
          <w:tcPr>
            <w:tcW w:w="4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6" w:name="xdx_40F_eus-gaap--OtherComprehensiveInco"/>
            <w:bookmarkEnd w:id="166"/>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Comprehensive (Loss)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7" w:name="xdx_40D_eus-gaap--ProfitLoss_iT_maCINOTz"/>
            <w:bookmarkEnd w:id="167"/>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(14,551</w:t>
            </w:r>
          </w:p>
        </w:tc>
        <w:tc>
          <w:tcPr>
            <w:tcW w:w="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(23,169</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8" w:name="xdx_40C_eus-gaap--OtherComprehensiveInco"/>
            <w:bookmarkEnd w:id="168"/>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(1,866</w:t>
            </w:r>
          </w:p>
        </w:tc>
        <w:tc>
          <w:tcPr>
            <w:tcW w:w="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w:t>
            </w:r>
          </w:p>
        </w:tc>
        <w:tc>
          <w:tcPr>
            <w:tcW w:w="113" w:type="dxa"/>
            <w:tcBorders/>
            <w:shd w:fill="CCEEFF" w:val="clear"/>
            <w:vAlign w:val="center"/>
          </w:tcPr>
          <w:p>
            <w:pPr>
              <w:pStyle w:val="TableContents"/>
              <w:bidi w:val="0"/>
              <w:spacing w:before="0" w:after="283"/>
              <w:jc w:val="left"/>
              <w:rPr/>
            </w:pPr>
            <w:r>
              <w:rPr/>
              <w:t> </w:t>
            </w:r>
            <w:bookmarkStart w:id="169" w:name="xdx_402_eus-gaap--ComprehensiveIncomeNet"/>
            <w:bookmarkEnd w:id="169"/>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comprehensive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(16,417</w:t>
            </w:r>
          </w:p>
        </w:tc>
        <w:tc>
          <w:tcPr>
            <w:tcW w:w="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(21,631</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0" w:name="xdx_403_eus-gaap--ComprehensiveIncomeNet"/>
            <w:bookmarkEnd w:id="170"/>
          </w:p>
        </w:tc>
      </w:tr>
      <w:tr>
        <w:trPr/>
        <w:tc>
          <w:tcPr>
            <w:tcW w:w="4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3" w:type="dxa"/>
            <w:tcBorders/>
            <w:shd w:fill="CCEEFF" w:val="clear"/>
            <w:vAlign w:val="center"/>
          </w:tcPr>
          <w:p>
            <w:pPr>
              <w:pStyle w:val="TableContents"/>
              <w:bidi w:val="0"/>
              <w:spacing w:before="0" w:after="283"/>
              <w:jc w:val="left"/>
              <w:rPr/>
            </w:pPr>
            <w:r>
              <w:rPr/>
              <w:t> </w:t>
            </w:r>
            <w:bookmarkStart w:id="171" w:name="xdx_403_eus-gaap--ComprehensiveIncomeNet"/>
            <w:bookmarkEnd w:id="171"/>
          </w:p>
        </w:tc>
      </w:tr>
      <w:tr>
        <w:trPr/>
        <w:tc>
          <w:tcPr>
            <w:tcW w:w="426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Comprehensive loss attributable to Streamex Corp.</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(16,418</w:t>
            </w:r>
          </w:p>
        </w:tc>
        <w:tc>
          <w:tcPr>
            <w:tcW w:w="9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(18,834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(65,027</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(21,647</w:t>
            </w:r>
          </w:p>
        </w:tc>
        <w:tc>
          <w:tcPr>
            <w:tcW w:w="11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72" w:name="a_005"/>
      <w:bookmarkEnd w:id="172"/>
      <w:r>
        <w:rPr>
          <w:rFonts w:ascii="Times New Roman;Times;Serif" w:hAnsi="Times New Roman;Times;Serif"/>
          <w:b/>
          <w:i w:val="false"/>
          <w:caps w:val="false"/>
          <w:smallCaps w:val="false"/>
          <w:sz w:val="20"/>
        </w:rPr>
        <w:t>CONDENSED CONSOLIDATED STATEMENT OF CHANGES IN STOCKHOLDERS’ EQUITY</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3" w:name="xdx_30B_114_pn3n3_zR0FapjkC6r1"/>
      <w:bookmarkStart w:id="174" w:name="xdx_30B_114_pn3n3_zR0FapjkC6r1"/>
      <w:bookmarkEnd w:id="174"/>
    </w:p>
    <w:tbl>
      <w:tblPr>
        <w:tblW w:w="10580" w:type="dxa"/>
        <w:jc w:val="left"/>
        <w:tblInd w:w="0" w:type="dxa"/>
        <w:tblLayout w:type="fixed"/>
        <w:tblCellMar>
          <w:top w:w="0" w:type="dxa"/>
          <w:left w:w="0" w:type="dxa"/>
          <w:bottom w:w="0" w:type="dxa"/>
          <w:right w:w="0" w:type="dxa"/>
        </w:tblCellMar>
      </w:tblPr>
      <w:tblGrid>
        <w:gridCol w:w="1460"/>
        <w:gridCol w:w="60"/>
        <w:gridCol w:w="60"/>
        <w:gridCol w:w="1220"/>
        <w:gridCol w:w="95"/>
        <w:gridCol w:w="60"/>
        <w:gridCol w:w="187"/>
        <w:gridCol w:w="508"/>
        <w:gridCol w:w="95"/>
        <w:gridCol w:w="60"/>
        <w:gridCol w:w="197"/>
        <w:gridCol w:w="1128"/>
        <w:gridCol w:w="95"/>
        <w:gridCol w:w="60"/>
        <w:gridCol w:w="155"/>
        <w:gridCol w:w="975"/>
        <w:gridCol w:w="95"/>
        <w:gridCol w:w="60"/>
        <w:gridCol w:w="242"/>
        <w:gridCol w:w="1098"/>
        <w:gridCol w:w="95"/>
        <w:gridCol w:w="60"/>
        <w:gridCol w:w="262"/>
        <w:gridCol w:w="1048"/>
        <w:gridCol w:w="95"/>
        <w:gridCol w:w="60"/>
        <w:gridCol w:w="140"/>
        <w:gridCol w:w="800"/>
        <w:gridCol w:w="110"/>
      </w:tblGrid>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Common stock</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 w:name="xdx_4B1_us-gaap--StatementEquityComponen"/>
            <w:bookmarkEnd w:id="175"/>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6" w:name="xdx_4B0_us-gaap--StatementEquityComponen"/>
            <w:bookmarkEnd w:id="176"/>
          </w:p>
        </w:tc>
        <w:tc>
          <w:tcPr>
            <w:tcW w:w="132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Paid-in-Capital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7" w:name="xdx_4B2_us-gaap--StatementEquityComponen"/>
            <w:bookmarkEnd w:id="177"/>
          </w:p>
        </w:tc>
        <w:tc>
          <w:tcPr>
            <w:tcW w:w="113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Accumulated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8" w:name="xdx_4BE_us-gaap--StatementEquityComponen"/>
            <w:bookmarkEnd w:id="178"/>
          </w:p>
        </w:tc>
        <w:tc>
          <w:tcPr>
            <w:tcW w:w="13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Accumulated</w:t>
            </w:r>
          </w:p>
          <w:p>
            <w:pPr>
              <w:pStyle w:val="TableContents"/>
              <w:bidi w:val="0"/>
              <w:jc w:val="center"/>
              <w:rPr>
                <w:rFonts w:ascii="Times New Roman;Times;Serif" w:hAnsi="Times New Roman;Times;Serif"/>
                <w:b/>
              </w:rPr>
            </w:pPr>
            <w:r>
              <w:rPr>
                <w:rFonts w:ascii="Times New Roman;Times;Serif" w:hAnsi="Times New Roman;Times;Serif"/>
                <w:b/>
              </w:rPr>
              <w:t>Other </w:t>
            </w:r>
          </w:p>
          <w:p>
            <w:pPr>
              <w:pStyle w:val="TableContents"/>
              <w:bidi w:val="0"/>
              <w:jc w:val="center"/>
              <w:rPr>
                <w:rFonts w:ascii="Times New Roman;Times;Serif" w:hAnsi="Times New Roman;Times;Serif"/>
                <w:b/>
                <w:sz w:val="20"/>
              </w:rPr>
            </w:pPr>
            <w:r>
              <w:rPr>
                <w:rFonts w:ascii="Times New Roman;Times;Serif" w:hAnsi="Times New Roman;Times;Serif"/>
                <w:b/>
                <w:sz w:val="20"/>
              </w:rPr>
              <w:t>Comprehensive</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Income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9" w:name="xdx_4BB_us-gaap--StatementEquityComponen"/>
            <w:bookmarkEnd w:id="179"/>
          </w:p>
        </w:tc>
        <w:tc>
          <w:tcPr>
            <w:tcW w:w="13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Noncontrolling</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0" w:name="xdx_4B3_zj9aG9tqqgoh"/>
            <w:bookmarkEnd w:id="180"/>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10" w:type="dxa"/>
            <w:tcBorders/>
            <w:vAlign w:val="center"/>
          </w:tcPr>
          <w:p>
            <w:pPr>
              <w:pStyle w:val="TableContents"/>
              <w:bidi w:val="0"/>
              <w:spacing w:before="0" w:after="283"/>
              <w:jc w:val="center"/>
              <w:rPr/>
            </w:pPr>
            <w:r>
              <w:rPr/>
              <w:t> </w:t>
            </w:r>
            <w:bookmarkStart w:id="181" w:name="xdx_434_c20260101__20260331_eus-gaap--St"/>
            <w:bookmarkEnd w:id="181"/>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2" w:name="xdx_98C_eus-gaap--SharesOutstanding_iS_p"/>
            <w:bookmarkEnd w:id="182"/>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49,805,275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850,447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(718,120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133,223</w:t>
            </w:r>
          </w:p>
        </w:tc>
        <w:tc>
          <w:tcPr>
            <w:tcW w:w="110" w:type="dxa"/>
            <w:tcBorders/>
            <w:shd w:fill="CCEEFF" w:val="clear"/>
            <w:vAlign w:val="center"/>
          </w:tcPr>
          <w:p>
            <w:pPr>
              <w:pStyle w:val="TableContents"/>
              <w:bidi w:val="0"/>
              <w:spacing w:before="0" w:after="283"/>
              <w:jc w:val="left"/>
              <w:rPr/>
            </w:pPr>
            <w:r>
              <w:rPr/>
              <w:t> </w:t>
            </w:r>
            <w:bookmarkStart w:id="183" w:name="xdx_400_eus-gaap--StockIssuedDuringPerio"/>
            <w:bookmarkEnd w:id="183"/>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4" w:name="xdx_98A_eus-gaap--StockIssuedDuringPerio"/>
            <w:bookmarkEnd w:id="184"/>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6,123,941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21,461</w:t>
            </w:r>
          </w:p>
        </w:tc>
        <w:tc>
          <w:tcPr>
            <w:tcW w:w="110" w:type="dxa"/>
            <w:tcBorders/>
            <w:shd w:fill="FFFFFF" w:val="clear"/>
            <w:vAlign w:val="center"/>
          </w:tcPr>
          <w:p>
            <w:pPr>
              <w:pStyle w:val="TableContents"/>
              <w:bidi w:val="0"/>
              <w:spacing w:before="0" w:after="283"/>
              <w:jc w:val="left"/>
              <w:rPr/>
            </w:pPr>
            <w:r>
              <w:rPr/>
              <w:t> </w:t>
            </w:r>
            <w:bookmarkStart w:id="185" w:name="xdx_407_eus-gaap--StockIssuedDuringPerio"/>
            <w:bookmarkEnd w:id="185"/>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E_eus-gaap--StockIssuedDuringPerio"/>
            <w:bookmarkEnd w:id="186"/>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w:t>
            </w:r>
            <w:bookmarkStart w:id="187" w:name="xdx_F24_zagGJDYs45Tj"/>
            <w:bookmarkEnd w:id="187"/>
            <w:r>
              <w:rPr>
                <w:rFonts w:ascii="Times New Roman;Times;Serif" w:hAnsi="Times New Roman;Times;Serif"/>
                <w:sz w:val="20"/>
              </w:rPr>
              <w:t xml:space="preserve">*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88" w:name="xdx_40B_ecustom--StockIssuedDuringPeriod"/>
            <w:bookmarkEnd w:id="188"/>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proceeds from issuance of common stock in underwritten public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9" w:name="xdx_986_ecustom--StockIssuedDuringPeriod"/>
            <w:bookmarkEnd w:id="189"/>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13,416,667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37,184</w:t>
            </w:r>
          </w:p>
        </w:tc>
        <w:tc>
          <w:tcPr>
            <w:tcW w:w="110" w:type="dxa"/>
            <w:tcBorders/>
            <w:shd w:fill="FFFFFF" w:val="clear"/>
            <w:vAlign w:val="center"/>
          </w:tcPr>
          <w:p>
            <w:pPr>
              <w:pStyle w:val="TableContents"/>
              <w:bidi w:val="0"/>
              <w:spacing w:before="0" w:after="283"/>
              <w:jc w:val="left"/>
              <w:rPr/>
            </w:pPr>
            <w:r>
              <w:rPr/>
              <w:t> </w:t>
            </w:r>
            <w:bookmarkStart w:id="190" w:name="xdx_403_eus-gaap--StockIssuedDuringPerio"/>
            <w:bookmarkEnd w:id="190"/>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exchangeable shares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1" w:name="xdx_989_eus-gaap--StockIssuedDuringPerio"/>
            <w:bookmarkEnd w:id="191"/>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24,571,166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92" w:name="xdx_408_ecustom--StockIssuedDuringPeriod"/>
            <w:bookmarkEnd w:id="192"/>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debenture into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3" w:name="xdx_982_ecustom--StockIssuedDuringPeriod"/>
            <w:bookmarkEnd w:id="193"/>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15,760</w:t>
            </w:r>
          </w:p>
        </w:tc>
        <w:tc>
          <w:tcPr>
            <w:tcW w:w="110" w:type="dxa"/>
            <w:tcBorders/>
            <w:shd w:fill="FFFFFF" w:val="clear"/>
            <w:vAlign w:val="center"/>
          </w:tcPr>
          <w:p>
            <w:pPr>
              <w:pStyle w:val="TableContents"/>
              <w:bidi w:val="0"/>
              <w:spacing w:before="0" w:after="283"/>
              <w:jc w:val="left"/>
              <w:rPr/>
            </w:pPr>
            <w:r>
              <w:rPr/>
              <w:t> </w:t>
            </w:r>
            <w:bookmarkStart w:id="194" w:name="xdx_401_eus-gaap--NoncontrollingInterest"/>
            <w:bookmarkEnd w:id="194"/>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equity to noncontrolling interest 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110" w:type="dxa"/>
            <w:tcBorders/>
            <w:shd w:fill="CCEEFF" w:val="clear"/>
            <w:vAlign w:val="center"/>
          </w:tcPr>
          <w:p>
            <w:pPr>
              <w:pStyle w:val="TableContents"/>
              <w:bidi w:val="0"/>
              <w:spacing w:before="0" w:after="283"/>
              <w:jc w:val="left"/>
              <w:rPr/>
            </w:pPr>
            <w:r>
              <w:rPr/>
              <w:t> </w:t>
            </w:r>
            <w:bookmarkStart w:id="195" w:name="xdx_407_eus-gaap--AdjustmentsToAdditiona"/>
            <w:bookmarkEnd w:id="195"/>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6" w:name="xdx_40C_eus-gaap--OtherComprehensiveInco"/>
            <w:bookmarkEnd w:id="196"/>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7" w:name="xdx_407_eus-gaap--ProfitLoss_zLoHXR3hYlJ"/>
            <w:bookmarkEnd w:id="197"/>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(46,693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(46,694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8" w:name="xdx_430_c20260401__20260630_eus-gaap--St"/>
            <w:bookmarkEnd w:id="198"/>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Balance, March 31, 2026 </w:t>
            </w:r>
            <w:r>
              <w:rPr>
                <w:rFonts w:ascii="Times New Roman;Times;Serif" w:hAnsi="Times New Roman;Times;Serif"/>
                <w:b/>
                <w:i/>
                <w:sz w:val="20"/>
              </w:rPr>
              <w:t>(unaudited)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9" w:name="xdx_98E_eus-gaap--SharesOutstanding_iS_p"/>
            <w:bookmarkEnd w:id="19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97,721,696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924,802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(764,813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159,241</w:t>
            </w:r>
          </w:p>
        </w:tc>
        <w:tc>
          <w:tcPr>
            <w:tcW w:w="110" w:type="dxa"/>
            <w:tcBorders/>
            <w:shd w:fill="CCEEFF" w:val="clear"/>
            <w:vAlign w:val="center"/>
          </w:tcPr>
          <w:p>
            <w:pPr>
              <w:pStyle w:val="TableContents"/>
              <w:bidi w:val="0"/>
              <w:spacing w:before="0" w:after="283"/>
              <w:jc w:val="left"/>
              <w:rPr/>
            </w:pPr>
            <w:r>
              <w:rPr/>
              <w:t> </w:t>
            </w:r>
            <w:bookmarkStart w:id="200" w:name="xdx_400_eus-gaap--StockIssuedDuringPerio"/>
            <w:bookmarkEnd w:id="200"/>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1" w:name="xdx_98E_eus-gaap--StockIssuedDuringPerio"/>
            <w:bookmarkEnd w:id="201"/>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3,164</w:t>
            </w:r>
          </w:p>
        </w:tc>
        <w:tc>
          <w:tcPr>
            <w:tcW w:w="110" w:type="dxa"/>
            <w:tcBorders/>
            <w:shd w:fill="FFFFFF" w:val="clear"/>
            <w:vAlign w:val="center"/>
          </w:tcPr>
          <w:p>
            <w:pPr>
              <w:pStyle w:val="TableContents"/>
              <w:bidi w:val="0"/>
              <w:spacing w:before="0" w:after="283"/>
              <w:jc w:val="left"/>
              <w:rPr/>
            </w:pPr>
            <w:r>
              <w:rPr/>
              <w:t> </w:t>
            </w:r>
            <w:bookmarkStart w:id="202" w:name="xdx_403_eus-gaap--StockIssuedDuringPerio"/>
            <w:bookmarkEnd w:id="202"/>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exchangeable shares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9_eus-gaap--StockIssuedDuringPerio"/>
            <w:bookmarkEnd w:id="203"/>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13,822,569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04" w:name="xdx_407_ecustom--StockIssuedDuringPeriod"/>
            <w:bookmarkEnd w:id="204"/>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cancelled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5" w:name="xdx_983_ecustom--StockIssuedDuringPeriod"/>
            <w:bookmarkEnd w:id="205"/>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06" w:name="xdx_401_eus-gaap--NoncontrollingInterest"/>
            <w:bookmarkEnd w:id="206"/>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equity to noncontrolling interest 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110" w:type="dxa"/>
            <w:tcBorders/>
            <w:shd w:fill="CCEEFF" w:val="clear"/>
            <w:vAlign w:val="center"/>
          </w:tcPr>
          <w:p>
            <w:pPr>
              <w:pStyle w:val="TableContents"/>
              <w:bidi w:val="0"/>
              <w:spacing w:before="0" w:after="283"/>
              <w:jc w:val="left"/>
              <w:rPr/>
            </w:pPr>
            <w:r>
              <w:rPr/>
              <w:t> </w:t>
            </w:r>
            <w:bookmarkStart w:id="207" w:name="xdx_400_eus-gaap--AdjustmentsToAdditiona"/>
            <w:bookmarkEnd w:id="207"/>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ownership interest in Streamex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0" w:type="dxa"/>
            <w:tcBorders/>
            <w:shd w:fill="FFFFFF" w:val="clear"/>
            <w:vAlign w:val="center"/>
          </w:tcPr>
          <w:p>
            <w:pPr>
              <w:pStyle w:val="TableContents"/>
              <w:bidi w:val="0"/>
              <w:spacing w:before="0" w:after="283"/>
              <w:jc w:val="left"/>
              <w:rPr/>
            </w:pPr>
            <w:r>
              <w:rPr/>
              <w:t> </w:t>
            </w:r>
            <w:bookmarkStart w:id="208" w:name="xdx_40B_eus-gaap--AdjustmentsToAdditiona"/>
            <w:bookmarkEnd w:id="208"/>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9" w:name="xdx_40A_eus-gaap--OtherComprehensiveInco"/>
            <w:bookmarkEnd w:id="209"/>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0" w:name="xdx_400_ecustom--NoncontrollingInterestI"/>
            <w:bookmarkEnd w:id="210"/>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Distributions in-kind to noncontrolling interest 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11" w:name="xdx_40D_eus-gaap--ProfitLoss_zFuPCRApvNx"/>
            <w:bookmarkEnd w:id="211"/>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(14,551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2" w:name="xdx_436_c20260401__20260630_eus-gaap--St"/>
            <w:bookmarkEnd w:id="212"/>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Balance, June 30, 2026 </w:t>
            </w:r>
            <w:r>
              <w:rPr>
                <w:rFonts w:ascii="Times New Roman;Times;Serif" w:hAnsi="Times New Roman;Times;Serif"/>
                <w:b/>
                <w:i/>
                <w:sz w:val="20"/>
              </w:rPr>
              <w:t>(unaudited)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3" w:name="xdx_98C_eus-gaap--SharesOutstanding_iE_p"/>
            <w:bookmarkEnd w:id="213"/>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112,622,795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927,834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(779,365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(2,968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147,111</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tbl>
      <w:tblPr>
        <w:tblW w:w="10310" w:type="dxa"/>
        <w:jc w:val="left"/>
        <w:tblInd w:w="0" w:type="dxa"/>
        <w:tblLayout w:type="fixed"/>
        <w:tblCellMar>
          <w:top w:w="0" w:type="dxa"/>
          <w:left w:w="0" w:type="dxa"/>
          <w:bottom w:w="0" w:type="dxa"/>
          <w:right w:w="0" w:type="dxa"/>
        </w:tblCellMar>
      </w:tblPr>
      <w:tblGrid>
        <w:gridCol w:w="1460"/>
        <w:gridCol w:w="60"/>
        <w:gridCol w:w="60"/>
        <w:gridCol w:w="1100"/>
        <w:gridCol w:w="95"/>
        <w:gridCol w:w="60"/>
        <w:gridCol w:w="243"/>
        <w:gridCol w:w="452"/>
        <w:gridCol w:w="60"/>
        <w:gridCol w:w="60"/>
        <w:gridCol w:w="197"/>
        <w:gridCol w:w="1128"/>
        <w:gridCol w:w="95"/>
        <w:gridCol w:w="60"/>
        <w:gridCol w:w="155"/>
        <w:gridCol w:w="975"/>
        <w:gridCol w:w="95"/>
        <w:gridCol w:w="60"/>
        <w:gridCol w:w="268"/>
        <w:gridCol w:w="1072"/>
        <w:gridCol w:w="60"/>
        <w:gridCol w:w="60"/>
        <w:gridCol w:w="458"/>
        <w:gridCol w:w="852"/>
        <w:gridCol w:w="60"/>
        <w:gridCol w:w="60"/>
        <w:gridCol w:w="140"/>
        <w:gridCol w:w="755"/>
        <w:gridCol w:w="110"/>
      </w:tblGrid>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Common stock</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Paid-in-Capital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Accumulated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Accumulated</w:t>
            </w:r>
          </w:p>
          <w:p>
            <w:pPr>
              <w:pStyle w:val="TableContents"/>
              <w:bidi w:val="0"/>
              <w:jc w:val="center"/>
              <w:rPr>
                <w:rFonts w:ascii="Times New Roman;Times;Serif" w:hAnsi="Times New Roman;Times;Serif"/>
                <w:b/>
              </w:rPr>
            </w:pPr>
            <w:r>
              <w:rPr>
                <w:rFonts w:ascii="Times New Roman;Times;Serif" w:hAnsi="Times New Roman;Times;Serif"/>
                <w:b/>
              </w:rPr>
              <w:t>Other</w:t>
            </w:r>
          </w:p>
          <w:p>
            <w:pPr>
              <w:pStyle w:val="TableContents"/>
              <w:bidi w:val="0"/>
              <w:jc w:val="center"/>
              <w:rPr>
                <w:rFonts w:ascii="Times New Roman;Times;Serif" w:hAnsi="Times New Roman;Times;Serif"/>
                <w:b/>
                <w:sz w:val="20"/>
              </w:rPr>
            </w:pPr>
            <w:r>
              <w:rPr>
                <w:rFonts w:ascii="Times New Roman;Times;Serif" w:hAnsi="Times New Roman;Times;Serif"/>
                <w:b/>
                <w:sz w:val="20"/>
              </w:rPr>
              <w:t>Comprehensive</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Noncontrolling</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10" w:type="dxa"/>
            <w:tcBorders/>
            <w:vAlign w:val="center"/>
          </w:tcPr>
          <w:p>
            <w:pPr>
              <w:pStyle w:val="TableContents"/>
              <w:bidi w:val="0"/>
              <w:spacing w:before="0" w:after="283"/>
              <w:jc w:val="center"/>
              <w:rPr/>
            </w:pPr>
            <w:r>
              <w:rPr/>
              <w:t> </w:t>
            </w:r>
            <w:bookmarkStart w:id="214" w:name="xdx_430_c20250101__20250331_eus-gaap--St"/>
            <w:bookmarkEnd w:id="214"/>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5" w:name="xdx_98B_eus-gaap--SharesOutstanding_iS_p"/>
            <w:bookmarkEnd w:id="21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17,239,096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253,784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(255,345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(1,527</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16" w:name="xdx_400_eus-gaap--StockIssuedDuringPerio"/>
            <w:bookmarkEnd w:id="216"/>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7" w:name="xdx_985_eus-gaap--StockIssuedDuringPerio"/>
            <w:bookmarkEnd w:id="217"/>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1,663,543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w:t>
            </w:r>
          </w:p>
        </w:tc>
        <w:tc>
          <w:tcPr>
            <w:tcW w:w="110" w:type="dxa"/>
            <w:tcBorders/>
            <w:shd w:fill="FFFFFF" w:val="clear"/>
            <w:vAlign w:val="center"/>
          </w:tcPr>
          <w:p>
            <w:pPr>
              <w:pStyle w:val="TableContents"/>
              <w:bidi w:val="0"/>
              <w:spacing w:before="0" w:after="283"/>
              <w:jc w:val="left"/>
              <w:rPr/>
            </w:pPr>
            <w:r>
              <w:rPr/>
              <w:t> </w:t>
            </w:r>
            <w:bookmarkStart w:id="218" w:name="xdx_407_eus-gaap--StockIssuedDuringPerio"/>
            <w:bookmarkEnd w:id="218"/>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9" w:name="xdx_983_eus-gaap--StockIssuedDuringPerio"/>
            <w:bookmarkEnd w:id="219"/>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r>
              <w:rPr>
                <w:rFonts w:ascii="Times New Roman;Times;Serif" w:hAnsi="Times New Roman;Times;Serif"/>
                <w:sz w:val="16"/>
              </w:rPr>
              <w:t>-</w:t>
            </w:r>
            <w:bookmarkStart w:id="220" w:name="xdx_F28_zCo9kfBseLC7"/>
            <w:bookmarkEnd w:id="220"/>
            <w:r>
              <w:rPr>
                <w:rFonts w:ascii="Times New Roman;Times;Serif" w:hAnsi="Times New Roman;Times;Serif"/>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21" w:name="xdx_402_eus-gaap--StockIssuedDuringPerio"/>
            <w:bookmarkEnd w:id="221"/>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common stock under at-the-market offering, net of 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2" w:name="xdx_984_eus-gaap--StockIssuedDuringPerio"/>
            <w:bookmarkEnd w:id="22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4,403,166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3,882</w:t>
            </w:r>
          </w:p>
        </w:tc>
        <w:tc>
          <w:tcPr>
            <w:tcW w:w="110" w:type="dxa"/>
            <w:tcBorders/>
            <w:shd w:fill="FFFFFF" w:val="clear"/>
            <w:vAlign w:val="center"/>
          </w:tcPr>
          <w:p>
            <w:pPr>
              <w:pStyle w:val="TableContents"/>
              <w:bidi w:val="0"/>
              <w:spacing w:before="0" w:after="283"/>
              <w:jc w:val="left"/>
              <w:rPr/>
            </w:pPr>
            <w:r>
              <w:rPr/>
              <w:t> </w:t>
            </w:r>
            <w:bookmarkStart w:id="223" w:name="xdx_401_eus-gaap--StockIssuedDuringPerio"/>
            <w:bookmarkEnd w:id="223"/>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common stock and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4" w:name="xdx_98E_eus-gaap--StockIssuedDuringPerio"/>
            <w:bookmarkEnd w:id="224"/>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w:t>
            </w:r>
          </w:p>
        </w:tc>
        <w:tc>
          <w:tcPr>
            <w:tcW w:w="110" w:type="dxa"/>
            <w:tcBorders/>
            <w:shd w:fill="CCEEFF" w:val="clear"/>
            <w:vAlign w:val="center"/>
          </w:tcPr>
          <w:p>
            <w:pPr>
              <w:pStyle w:val="TableContents"/>
              <w:bidi w:val="0"/>
              <w:spacing w:before="0" w:after="283"/>
              <w:jc w:val="left"/>
              <w:rPr/>
            </w:pPr>
            <w:r>
              <w:rPr/>
              <w:t> </w:t>
            </w:r>
            <w:bookmarkStart w:id="225" w:name="xdx_403_ecustom--StockIssuedDuringPeriod"/>
            <w:bookmarkEnd w:id="225"/>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settle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6" w:name="xdx_98F_ecustom--StockIssuedDuringPeriod"/>
            <w:bookmarkEnd w:id="226"/>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w:t>
            </w:r>
          </w:p>
        </w:tc>
        <w:tc>
          <w:tcPr>
            <w:tcW w:w="110" w:type="dxa"/>
            <w:tcBorders/>
            <w:shd w:fill="FFFFFF" w:val="clear"/>
            <w:vAlign w:val="center"/>
          </w:tcPr>
          <w:p>
            <w:pPr>
              <w:pStyle w:val="TableContents"/>
              <w:bidi w:val="0"/>
              <w:spacing w:before="0" w:after="283"/>
              <w:jc w:val="left"/>
              <w:rPr/>
            </w:pPr>
            <w:r>
              <w:rPr/>
              <w:t> </w:t>
            </w:r>
            <w:bookmarkStart w:id="227" w:name="xdx_40B_eus-gaap--AdjustmentsToAdditiona"/>
            <w:bookmarkEnd w:id="227"/>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8" w:name="xdx_40D_eus-gaap--ProfitLoss_zUkKa4IFwvw"/>
            <w:bookmarkEnd w:id="228"/>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9" w:name="xdx_433_c20250401__20250630_eus-gaap--St"/>
            <w:bookmarkEnd w:id="229"/>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Balance, March 31, 2025 </w:t>
            </w:r>
            <w:r>
              <w:rPr>
                <w:rFonts w:ascii="Times New Roman;Times;Serif" w:hAnsi="Times New Roman;Times;Serif"/>
                <w:b/>
                <w:i/>
                <w:sz w:val="20"/>
              </w:rPr>
              <w:t>(unaudited)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30" w:name="xdx_985_eus-gaap--SharesOutstanding_iS_p"/>
            <w:bookmarkEnd w:id="230"/>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24,248,315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260,738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(258,157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2,634</w:t>
            </w:r>
          </w:p>
        </w:tc>
        <w:tc>
          <w:tcPr>
            <w:tcW w:w="110" w:type="dxa"/>
            <w:tcBorders/>
            <w:shd w:fill="CCEEFF" w:val="clear"/>
            <w:vAlign w:val="center"/>
          </w:tcPr>
          <w:p>
            <w:pPr>
              <w:pStyle w:val="TableContents"/>
              <w:bidi w:val="0"/>
              <w:spacing w:before="0" w:after="283"/>
              <w:jc w:val="left"/>
              <w:rPr/>
            </w:pPr>
            <w:r>
              <w:rPr/>
              <w:t> </w:t>
            </w:r>
            <w:bookmarkStart w:id="231" w:name="xdx_400_eus-gaap--StockIssuedDuringPerio"/>
            <w:bookmarkEnd w:id="231"/>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2" w:name="xdx_989_eus-gaap--StockIssuedDuringPerio"/>
            <w:bookmarkEnd w:id="23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4,998,392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12,120</w:t>
            </w:r>
          </w:p>
        </w:tc>
        <w:tc>
          <w:tcPr>
            <w:tcW w:w="110" w:type="dxa"/>
            <w:tcBorders/>
            <w:shd w:fill="FFFFFF" w:val="clear"/>
            <w:vAlign w:val="center"/>
          </w:tcPr>
          <w:p>
            <w:pPr>
              <w:pStyle w:val="TableContents"/>
              <w:bidi w:val="0"/>
              <w:spacing w:before="0" w:after="283"/>
              <w:jc w:val="left"/>
              <w:rPr/>
            </w:pPr>
            <w:r>
              <w:rPr/>
              <w:t> </w:t>
            </w:r>
            <w:bookmarkStart w:id="233" w:name="xdx_407_eus-gaap--StockIssuedDuringPerio"/>
            <w:bookmarkEnd w:id="233"/>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4" w:name="xdx_98F_eus-gaap--StockIssuedDuringPerio"/>
            <w:bookmarkEnd w:id="234"/>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35" w:name="xdx_407_ecustom--StockIssuedDuringPeriod"/>
            <w:bookmarkEnd w:id="235"/>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cancelled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6" w:name="xdx_987_ecustom--StockIssuedDuringPeriod"/>
            <w:bookmarkEnd w:id="236"/>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(272,399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16"/>
              </w:rPr>
              <w:t>-</w:t>
            </w:r>
            <w:bookmarkStart w:id="237" w:name="xdx_F2E_zqj8FEaMTkcl"/>
            <w:bookmarkEnd w:id="237"/>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38" w:name="xdx_403_ecustom--StockIssuedDuringPeriod"/>
            <w:bookmarkEnd w:id="238"/>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settle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9" w:name="xdx_984_ecustom--StockIssuedDuringPeriod"/>
            <w:bookmarkEnd w:id="239"/>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w:t>
            </w:r>
          </w:p>
        </w:tc>
        <w:tc>
          <w:tcPr>
            <w:tcW w:w="110" w:type="dxa"/>
            <w:tcBorders/>
            <w:shd w:fill="CCEEFF" w:val="clear"/>
            <w:vAlign w:val="center"/>
          </w:tcPr>
          <w:p>
            <w:pPr>
              <w:pStyle w:val="TableContents"/>
              <w:bidi w:val="0"/>
              <w:spacing w:before="0" w:after="283"/>
              <w:jc w:val="left"/>
              <w:rPr/>
            </w:pPr>
            <w:r>
              <w:rPr/>
              <w:t> </w:t>
            </w:r>
            <w:bookmarkStart w:id="240" w:name="xdx_40B_eus-gaap--AdjustmentsToAdditiona"/>
            <w:bookmarkEnd w:id="240"/>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1" w:name="xdx_407_eus-gaap--OtherComprehensiveInco"/>
            <w:bookmarkEnd w:id="241"/>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w:t>
            </w:r>
          </w:p>
        </w:tc>
        <w:tc>
          <w:tcPr>
            <w:tcW w:w="110" w:type="dxa"/>
            <w:tcBorders/>
            <w:shd w:fill="CCEEFF" w:val="clear"/>
            <w:vAlign w:val="center"/>
          </w:tcPr>
          <w:p>
            <w:pPr>
              <w:pStyle w:val="TableContents"/>
              <w:bidi w:val="0"/>
              <w:spacing w:before="0" w:after="283"/>
              <w:jc w:val="left"/>
              <w:rPr/>
            </w:pPr>
            <w:r>
              <w:rPr/>
              <w:t> </w:t>
            </w:r>
            <w:bookmarkStart w:id="242" w:name="xdx_40D_eus-gaap--ProfitLoss_zoPfpImPcT0"/>
            <w:bookmarkEnd w:id="242"/>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3" w:name="xdx_406_eus-gaap--ProfitLoss_zjqRuyEAm2t"/>
            <w:bookmarkEnd w:id="243"/>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4" w:name="xdx_438_c20250401__20250630_eus-gaap--St"/>
            <w:bookmarkEnd w:id="244"/>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Balance, June 30, 2025 </w:t>
            </w:r>
            <w:r>
              <w:rPr>
                <w:rFonts w:ascii="Times New Roman;Times;Serif" w:hAnsi="Times New Roman;Times;Serif"/>
                <w:b/>
                <w:i/>
                <w:sz w:val="20"/>
              </w:rPr>
              <w:t>(Unaudited)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45" w:name="xdx_982_eus-gaap--SharesOutstanding_iE_p"/>
            <w:bookmarkEnd w:id="24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30,793,135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273,343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(278,529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(3,584</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pBdr/>
        <w:bidi w:val="0"/>
        <w:spacing w:before="0" w:after="0"/>
        <w:ind w:left="0" w:right="0" w:hanging="0"/>
        <w:jc w:val="center"/>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140"/>
        <w:gridCol w:w="60"/>
        <w:gridCol w:w="1100"/>
      </w:tblGrid>
      <w:tr>
        <w:trPr/>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6" w:name="xdx_F0F_zUWYPKrrDW45"/>
            <w:bookmarkEnd w:id="246"/>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7" w:name="xdx_F16_zCnjg7QNPCBb"/>
            <w:bookmarkEnd w:id="247"/>
            <w:r>
              <w:rPr>
                <w:rFonts w:ascii="Times New Roman;Times;Serif" w:hAnsi="Times New Roman;Times;Serif"/>
                <w:b w:val="false"/>
                <w:i w:val="false"/>
                <w:caps w:val="false"/>
                <w:smallCaps w:val="false"/>
                <w:sz w:val="20"/>
              </w:rPr>
              <w:t>- less than $1</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48" w:name="a_006"/>
      <w:bookmarkEnd w:id="248"/>
      <w:r>
        <w:rPr>
          <w:rFonts w:ascii="Times New Roman;Times;Serif" w:hAnsi="Times New Roman;Times;Serif"/>
          <w:b/>
          <w:i w:val="false"/>
          <w:caps w:val="false"/>
          <w:smallCaps w:val="false"/>
          <w:sz w:val="20"/>
        </w:rPr>
        <w:t>CONDENSED CONSOLIDATED STATEMENTS OF CASH FLOWS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9" w:name="xdx_303_112_pn3n3_zJAnBSg4aDS4"/>
      <w:bookmarkStart w:id="250" w:name="xdx_303_112_pn3n3_zJAnBSg4aDS4"/>
      <w:bookmarkEnd w:id="250"/>
    </w:p>
    <w:tbl>
      <w:tblPr>
        <w:tblW w:w="10205" w:type="dxa"/>
        <w:jc w:val="left"/>
        <w:tblInd w:w="0" w:type="dxa"/>
        <w:tblLayout w:type="fixed"/>
        <w:tblCellMar>
          <w:top w:w="0" w:type="dxa"/>
          <w:left w:w="0" w:type="dxa"/>
          <w:bottom w:w="0" w:type="dxa"/>
          <w:right w:w="0" w:type="dxa"/>
        </w:tblCellMar>
      </w:tblPr>
      <w:tblGrid>
        <w:gridCol w:w="7091"/>
        <w:gridCol w:w="60"/>
        <w:gridCol w:w="206"/>
        <w:gridCol w:w="1117"/>
        <w:gridCol w:w="140"/>
        <w:gridCol w:w="88"/>
        <w:gridCol w:w="206"/>
        <w:gridCol w:w="1183"/>
        <w:gridCol w:w="114"/>
      </w:tblGrid>
      <w:tr>
        <w:trPr/>
        <w:tc>
          <w:tcPr>
            <w:tcW w:w="7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1" w:name="xdx_49B_20260101__20260630_zUQpr5MvVDs7"/>
            <w:bookmarkEnd w:id="251"/>
          </w:p>
        </w:tc>
        <w:tc>
          <w:tcPr>
            <w:tcW w:w="13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4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bookmarkStart w:id="252" w:name="xdx_493_20250101__20250630_zQdAxc4oWML7"/>
            <w:bookmarkEnd w:id="252"/>
          </w:p>
        </w:tc>
        <w:tc>
          <w:tcPr>
            <w:tcW w:w="13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4" w:type="dxa"/>
            <w:tcBorders/>
            <w:vAlign w:val="center"/>
          </w:tcPr>
          <w:p>
            <w:pPr>
              <w:pStyle w:val="TableContents"/>
              <w:bidi w:val="0"/>
              <w:spacing w:before="0" w:after="283"/>
              <w:jc w:val="left"/>
              <w:rPr/>
            </w:pPr>
            <w:r>
              <w:rPr/>
              <w:t> </w:t>
            </w:r>
          </w:p>
        </w:tc>
      </w:tr>
      <w:tr>
        <w:trPr/>
        <w:tc>
          <w:tcPr>
            <w:tcW w:w="7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Six Months Ended June 30,</w:t>
            </w:r>
          </w:p>
        </w:tc>
        <w:tc>
          <w:tcPr>
            <w:tcW w:w="114" w:type="dxa"/>
            <w:tcBorders/>
            <w:vAlign w:val="center"/>
          </w:tcPr>
          <w:p>
            <w:pPr>
              <w:pStyle w:val="TableContents"/>
              <w:bidi w:val="0"/>
              <w:spacing w:before="0" w:after="283"/>
              <w:jc w:val="left"/>
              <w:rPr/>
            </w:pPr>
            <w:r>
              <w:rPr/>
              <w:t> </w:t>
            </w:r>
          </w:p>
        </w:tc>
      </w:tr>
      <w:tr>
        <w:trPr/>
        <w:tc>
          <w:tcPr>
            <w:tcW w:w="7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4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4" w:type="dxa"/>
            <w:tcBorders/>
            <w:vAlign w:val="center"/>
          </w:tcPr>
          <w:p>
            <w:pPr>
              <w:pStyle w:val="TableContents"/>
              <w:bidi w:val="0"/>
              <w:spacing w:before="0" w:after="283"/>
              <w:jc w:val="left"/>
              <w:rPr/>
            </w:pPr>
            <w:r>
              <w:rPr/>
              <w:t> </w:t>
            </w:r>
            <w:bookmarkStart w:id="253" w:name="xdx_405_eus-gaap--NetCashProvidedByUsedI"/>
            <w:bookmarkEnd w:id="253"/>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54" w:name="xdx_403_eus-gaap--ProfitLoss_i01_maNCPBU"/>
            <w:bookmarkEnd w:id="254"/>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(61,245</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(23,169</w:t>
            </w:r>
          </w:p>
        </w:tc>
        <w:tc>
          <w:tcPr>
            <w:tcW w:w="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55" w:name="xdx_407_eus-gaap--AdjustmentsToReconcile"/>
            <w:bookmarkEnd w:id="255"/>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cash used in operating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56" w:name="xdx_400_eus-gaap--DepreciationAndAmortiz"/>
            <w:bookmarkEnd w:id="256"/>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2,963</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w:t>
            </w:r>
          </w:p>
        </w:tc>
        <w:tc>
          <w:tcPr>
            <w:tcW w:w="114" w:type="dxa"/>
            <w:tcBorders/>
            <w:shd w:fill="FFFFFF" w:val="clear"/>
            <w:vAlign w:val="center"/>
          </w:tcPr>
          <w:p>
            <w:pPr>
              <w:pStyle w:val="TableContents"/>
              <w:bidi w:val="0"/>
              <w:spacing w:before="0" w:after="283"/>
              <w:jc w:val="left"/>
              <w:rPr/>
            </w:pPr>
            <w:r>
              <w:rPr/>
              <w:t> </w:t>
            </w:r>
            <w:bookmarkStart w:id="257" w:name="xdx_408_eus-gaap--AmortizationOfDebtDisc"/>
            <w:bookmarkEnd w:id="257"/>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11,979</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58" w:name="xdx_407_ecustom--GainOnSettlementAndExti"/>
            <w:bookmarkEnd w:id="258"/>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settlement and extinguishment of accounts payable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 w:name="xdx_407_eus-gaap--DebtSecuritiesAvailabl"/>
            <w:bookmarkEnd w:id="259"/>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gain on sale of gold</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(2,938</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60" w:name="xdx_40E_eus-gaap--OtherNoncashIncome_i02"/>
            <w:bookmarkEnd w:id="260"/>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income settled in gold</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61" w:name="xdx_40F_ecustom--RealizedGainOnMarketabl"/>
            <w:bookmarkEnd w:id="261"/>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gain on marketable securities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62" w:name="xdx_409_ecustom--ChangeInFairValueOfMark"/>
            <w:bookmarkEnd w:id="262"/>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marketable securities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63" w:name="xdx_405_ecustom--ChangeInFairValueOfEmbe"/>
            <w:bookmarkEnd w:id="263"/>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embedded derivative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64" w:name="xdx_403_eus-gaap--GainsLossesOnExtinguis"/>
            <w:bookmarkEnd w:id="264"/>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extinguishment of convertible debenture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3,057</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65" w:name="xdx_409_eus-gaap--RealizedInvestmentGain"/>
            <w:bookmarkEnd w:id="265"/>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investment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66" w:name="xdx_40E_eus-gaap--UnrealizedGainLossOnIn"/>
            <w:bookmarkEnd w:id="266"/>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on investment measured at NAV</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67" w:name="xdx_40F_ecustom--AllowanceForCreditLosse"/>
            <w:bookmarkEnd w:id="267"/>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114" w:type="dxa"/>
            <w:tcBorders/>
            <w:shd w:fill="CCEEFF" w:val="clear"/>
            <w:vAlign w:val="center"/>
          </w:tcPr>
          <w:p>
            <w:pPr>
              <w:pStyle w:val="TableContents"/>
              <w:bidi w:val="0"/>
              <w:spacing w:before="0" w:after="283"/>
              <w:jc w:val="left"/>
              <w:rPr/>
            </w:pPr>
            <w:r>
              <w:rPr/>
              <w:t> </w:t>
            </w:r>
            <w:bookmarkStart w:id="268" w:name="xdx_408_eus-gaap--ForeignCurrencyTransac"/>
            <w:bookmarkEnd w:id="268"/>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transaction gain</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69" w:name="xdx_402_eus-gaap--ShareBasedCompensation"/>
            <w:bookmarkEnd w:id="269"/>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32,487</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14,194</w:t>
            </w:r>
          </w:p>
        </w:tc>
        <w:tc>
          <w:tcPr>
            <w:tcW w:w="114" w:type="dxa"/>
            <w:tcBorders/>
            <w:shd w:fill="CCEEFF" w:val="clear"/>
            <w:vAlign w:val="center"/>
          </w:tcPr>
          <w:p>
            <w:pPr>
              <w:pStyle w:val="TableContents"/>
              <w:bidi w:val="0"/>
              <w:spacing w:before="0" w:after="283"/>
              <w:jc w:val="left"/>
              <w:rPr/>
            </w:pPr>
            <w:r>
              <w:rPr/>
              <w:t> </w:t>
            </w:r>
            <w:bookmarkStart w:id="270" w:name="xdx_406_eus-gaap--DeferredIncomeTaxExpen"/>
            <w:bookmarkEnd w:id="270"/>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 taxes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(1,070</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71" w:name="xdx_405_eus-gaap--IncreaseDecreaseInOper"/>
            <w:bookmarkEnd w:id="271"/>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72" w:name="xdx_408_ecustom--IncreaseDecreaseInGoldD"/>
            <w:bookmarkEnd w:id="272"/>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Gold-denominated receivable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73" w:name="xdx_40F_eus-gaap--IncreaseDecreaseInOthe"/>
            <w:bookmarkEnd w:id="273"/>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digital assets - USDC</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(7,001</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74" w:name="xdx_40C_eus-gaap--IncreaseDecreaseInPrep"/>
            <w:bookmarkEnd w:id="274"/>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5" w:name="xdx_407_eus-gaap--IncreaseDecreaseInAcco"/>
            <w:bookmarkEnd w:id="275"/>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6,132</w:t>
            </w:r>
          </w:p>
        </w:tc>
        <w:tc>
          <w:tcPr>
            <w:tcW w:w="114" w:type="dxa"/>
            <w:tcBorders/>
            <w:shd w:fill="CCEEFF" w:val="clear"/>
            <w:vAlign w:val="center"/>
          </w:tcPr>
          <w:p>
            <w:pPr>
              <w:pStyle w:val="TableContents"/>
              <w:bidi w:val="0"/>
              <w:spacing w:before="0" w:after="283"/>
              <w:jc w:val="left"/>
              <w:rPr/>
            </w:pPr>
            <w:r>
              <w:rPr/>
              <w:t> </w:t>
            </w:r>
            <w:bookmarkStart w:id="276" w:name="xdx_401_eus-gaap--IncreaseDecreaseInOper"/>
            <w:bookmarkEnd w:id="276"/>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 and lease liabilities, net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7" w:name="xdx_403_eus-gaap--NetCashProvidedByUsedI"/>
            <w:bookmarkEnd w:id="277"/>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(21,918</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(2,393</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0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78" w:name="xdx_401_eus-gaap--NetCashProvidedByUsedI"/>
            <w:bookmarkEnd w:id="278"/>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79" w:name="xdx_408_eus-gaap--PaymentsToAcquireMarke"/>
            <w:bookmarkEnd w:id="279"/>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(23,900</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80" w:name="xdx_406_eus-gaap--PaymentsToAcquireInves"/>
            <w:bookmarkEnd w:id="280"/>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investment measured at NAV</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81" w:name="xdx_402_eus-gaap--ProceedsFromSaleOfAvai"/>
            <w:bookmarkEnd w:id="281"/>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sale of marketable securities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21,003</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82" w:name="xdx_40A_eus-gaap--ProceedsFromSaleOfEqui"/>
            <w:bookmarkEnd w:id="282"/>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sale of non-marketable equity investments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83" w:name="xdx_40E_ecustom--ProceedsFromSaleOfGold_"/>
            <w:bookmarkEnd w:id="283"/>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gold</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26,410</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84" w:name="xdx_404_eus-gaap--PaymentsToAcquireMinin"/>
            <w:bookmarkEnd w:id="284"/>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gold held at cost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(14,375</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85" w:name="xdx_40F_eus-gaap--PaymentsToAcquireBusin"/>
            <w:bookmarkEnd w:id="285"/>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acquisition, net of cash acquired</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w:t>
            </w:r>
          </w:p>
        </w:tc>
        <w:tc>
          <w:tcPr>
            <w:tcW w:w="114" w:type="dxa"/>
            <w:tcBorders/>
            <w:shd w:fill="FFFFFF" w:val="clear"/>
            <w:vAlign w:val="center"/>
          </w:tcPr>
          <w:p>
            <w:pPr>
              <w:pStyle w:val="TableContents"/>
              <w:bidi w:val="0"/>
              <w:spacing w:before="0" w:after="283"/>
              <w:jc w:val="left"/>
              <w:rPr/>
            </w:pPr>
            <w:r>
              <w:rPr/>
              <w:t> </w:t>
            </w:r>
            <w:bookmarkStart w:id="286" w:name="xdx_409_eus-gaap--NetCashProvidedByUsedI"/>
            <w:bookmarkEnd w:id="286"/>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investing activity</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9,163</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366</w:t>
            </w:r>
          </w:p>
        </w:tc>
        <w:tc>
          <w:tcPr>
            <w:tcW w:w="114"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87" w:name="xdx_407_eus-gaap--NetCashProvidedByUsedI"/>
            <w:bookmarkEnd w:id="287"/>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88" w:name="xdx_402_ecustom--ProceedsFromSaleOfCommo"/>
            <w:bookmarkEnd w:id="288"/>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common stock under at-the-market offerings, net of issuance costs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3,882</w:t>
            </w:r>
          </w:p>
        </w:tc>
        <w:tc>
          <w:tcPr>
            <w:tcW w:w="114" w:type="dxa"/>
            <w:tcBorders/>
            <w:shd w:fill="FFFFFF" w:val="clear"/>
            <w:vAlign w:val="center"/>
          </w:tcPr>
          <w:p>
            <w:pPr>
              <w:pStyle w:val="TableContents"/>
              <w:bidi w:val="0"/>
              <w:spacing w:before="0" w:after="283"/>
              <w:jc w:val="left"/>
              <w:rPr/>
            </w:pPr>
            <w:r>
              <w:rPr/>
              <w:t> </w:t>
            </w:r>
            <w:bookmarkStart w:id="289" w:name="xdx_40E_eus-gaap--ProceedsFromIssuanceOf"/>
            <w:bookmarkEnd w:id="289"/>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w:t>
            </w:r>
          </w:p>
        </w:tc>
        <w:tc>
          <w:tcPr>
            <w:tcW w:w="114" w:type="dxa"/>
            <w:tcBorders/>
            <w:shd w:fill="CCEEFF" w:val="clear"/>
            <w:vAlign w:val="center"/>
          </w:tcPr>
          <w:p>
            <w:pPr>
              <w:pStyle w:val="TableContents"/>
              <w:bidi w:val="0"/>
              <w:spacing w:before="0" w:after="283"/>
              <w:jc w:val="left"/>
              <w:rPr/>
            </w:pPr>
            <w:r>
              <w:rPr/>
              <w:t> </w:t>
            </w:r>
            <w:bookmarkStart w:id="290" w:name="xdx_409_ecustom--RepaymentOfFinanceOblig"/>
            <w:bookmarkEnd w:id="290"/>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finance obligation</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(916</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91" w:name="xdx_40A_eus-gaap--ProceedsFromIssuanceIn"/>
            <w:bookmarkEnd w:id="291"/>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proceeds from issuance of common stock in underwritten public offering</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37,184</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92" w:name="xdx_404_ecustom--ProceedsFromIssuanceOfS"/>
            <w:bookmarkEnd w:id="292"/>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equity in subsidiary to noncontrolling interest holders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293" w:name="xdx_40B_eus-gaap--RepaymentsOfConvertibl"/>
            <w:bookmarkEnd w:id="293"/>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convertible debentures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(38,500</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294" w:name="xdx_409_eus-gaap--NetCashProvidedByUsedI"/>
            <w:bookmarkEnd w:id="294"/>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(1,882</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4,700</w:t>
            </w:r>
          </w:p>
        </w:tc>
        <w:tc>
          <w:tcPr>
            <w:tcW w:w="114" w:type="dxa"/>
            <w:tcBorders/>
            <w:shd w:fill="FFFFFF" w:val="clear"/>
            <w:vAlign w:val="center"/>
          </w:tcPr>
          <w:p>
            <w:pPr>
              <w:pStyle w:val="TableContents"/>
              <w:bidi w:val="0"/>
              <w:spacing w:before="0" w:after="283"/>
              <w:jc w:val="left"/>
              <w:rPr/>
            </w:pPr>
            <w:r>
              <w:rPr/>
              <w:t> </w:t>
            </w:r>
          </w:p>
        </w:tc>
      </w:tr>
      <w:tr>
        <w:trPr/>
        <w:tc>
          <w:tcPr>
            <w:tcW w:w="70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95" w:name="xdx_40F_eus-gaap--EffectOfExchangeRateOn"/>
            <w:bookmarkEnd w:id="295"/>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 on cash</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4" w:type="dxa"/>
            <w:tcBorders/>
            <w:shd w:fill="FFFFFF" w:val="clear"/>
            <w:vAlign w:val="center"/>
          </w:tcPr>
          <w:p>
            <w:pPr>
              <w:pStyle w:val="TableContents"/>
              <w:bidi w:val="0"/>
              <w:spacing w:before="0" w:after="283"/>
              <w:jc w:val="left"/>
              <w:rPr/>
            </w:pPr>
            <w:r>
              <w:rPr/>
              <w:t> </w:t>
            </w:r>
            <w:bookmarkStart w:id="296" w:name="xdx_40B_eus-gaap--CashCashEquivalentsRes"/>
            <w:bookmarkEnd w:id="296"/>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increase in cash</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(14,711</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8"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2,678</w:t>
            </w:r>
          </w:p>
        </w:tc>
        <w:tc>
          <w:tcPr>
            <w:tcW w:w="114" w:type="dxa"/>
            <w:tcBorders/>
            <w:shd w:fill="CCEEFF" w:val="clear"/>
            <w:vAlign w:val="center"/>
          </w:tcPr>
          <w:p>
            <w:pPr>
              <w:pStyle w:val="TableContents"/>
              <w:bidi w:val="0"/>
              <w:spacing w:before="0" w:after="283"/>
              <w:jc w:val="left"/>
              <w:rPr/>
            </w:pPr>
            <w:r>
              <w:rPr/>
              <w:t> </w:t>
            </w:r>
            <w:bookmarkStart w:id="297" w:name="xdx_407_eus-gaap--CashCashEquivalentsRes"/>
            <w:bookmarkEnd w:id="297"/>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beginning of the period</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20,316</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w:t>
            </w:r>
          </w:p>
        </w:tc>
        <w:tc>
          <w:tcPr>
            <w:tcW w:w="114" w:type="dxa"/>
            <w:tcBorders/>
            <w:shd w:fill="FFFFFF" w:val="clear"/>
            <w:vAlign w:val="center"/>
          </w:tcPr>
          <w:p>
            <w:pPr>
              <w:pStyle w:val="TableContents"/>
              <w:bidi w:val="0"/>
              <w:spacing w:before="0" w:after="283"/>
              <w:jc w:val="left"/>
              <w:rPr/>
            </w:pPr>
            <w:r>
              <w:rPr/>
              <w:t> </w:t>
            </w:r>
            <w:bookmarkStart w:id="298" w:name="xdx_402_eus-gaap--CashCashEquivalentsRes"/>
            <w:bookmarkEnd w:id="298"/>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end of the period</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5,605</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2,820</w:t>
            </w:r>
          </w:p>
        </w:tc>
        <w:tc>
          <w:tcPr>
            <w:tcW w:w="114"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99" w:name="xdx_404_eus-gaap--SupplementalCashFlowIn"/>
            <w:bookmarkEnd w:id="299"/>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300" w:name="xdx_40A_eus-gaap--InterestPaidNet_i01_zF"/>
            <w:bookmarkEnd w:id="300"/>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during the period for interest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301" w:name="xdx_400_eus-gaap--IncomeTaxesPaidNet_i01"/>
            <w:bookmarkEnd w:id="301"/>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during the period for income taxes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302" w:name="xdx_401_eus-gaap--NoncashInvestingAndFin"/>
            <w:bookmarkEnd w:id="302"/>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303" w:name="xdx_406_ecustom--DividendPayableOnPrefer"/>
            <w:bookmarkEnd w:id="303"/>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payable on preferred stock charged to additional paid-in-capital</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4" w:type="dxa"/>
            <w:tcBorders/>
            <w:shd w:fill="FFFFFF" w:val="clear"/>
            <w:vAlign w:val="center"/>
          </w:tcPr>
          <w:p>
            <w:pPr>
              <w:pStyle w:val="TableContents"/>
              <w:bidi w:val="0"/>
              <w:spacing w:before="0" w:after="283"/>
              <w:jc w:val="left"/>
              <w:rPr/>
            </w:pPr>
            <w:r>
              <w:rPr/>
              <w:t> </w:t>
            </w:r>
            <w:bookmarkStart w:id="304" w:name="xdx_408_ecustom--USDCDigitalAssetsReceiv"/>
            <w:bookmarkEnd w:id="304"/>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USDC digital assets received from transfer of ownership interest in Streamex Ltd. to noncontrolling interest holders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305" w:name="xdx_40E_ecustom--ConversionOfConvertible"/>
            <w:bookmarkEnd w:id="305"/>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debentures into common stock</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15,760</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306" w:name="xdx_400_ecustom--DistributionsToNoncontr"/>
            <w:bookmarkEnd w:id="306"/>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Distributions to noncontrolling interest holders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307" w:name="xdx_40C_ecustom--AcquisitionOfAssetsAndL"/>
            <w:bookmarkEnd w:id="307"/>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assets and liabilities recorded through operating lease</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810</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308" w:name="xdx_404_ecustom--RecognitionOfDerivative"/>
            <w:bookmarkEnd w:id="308"/>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derivative liability as part of business combination (non-cash)</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105,498</w:t>
            </w:r>
          </w:p>
        </w:tc>
        <w:tc>
          <w:tcPr>
            <w:tcW w:w="114" w:type="dxa"/>
            <w:tcBorders/>
            <w:shd w:fill="CCEEFF" w:val="clear"/>
            <w:vAlign w:val="center"/>
          </w:tcPr>
          <w:p>
            <w:pPr>
              <w:pStyle w:val="TableContents"/>
              <w:bidi w:val="0"/>
              <w:spacing w:before="0" w:after="283"/>
              <w:jc w:val="left"/>
              <w:rPr/>
            </w:pPr>
            <w:r>
              <w:rPr/>
              <w:t> </w:t>
            </w:r>
            <w:bookmarkStart w:id="309" w:name="xdx_405_ecustom--RecognitionOfAssetsAcqu"/>
            <w:bookmarkEnd w:id="309"/>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assets acquired as part of business combination</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105,394</w:t>
            </w:r>
          </w:p>
        </w:tc>
        <w:tc>
          <w:tcPr>
            <w:tcW w:w="114" w:type="dxa"/>
            <w:tcBorders/>
            <w:shd w:fill="FFFFFF" w:val="clear"/>
            <w:vAlign w:val="center"/>
          </w:tcPr>
          <w:p>
            <w:pPr>
              <w:pStyle w:val="TableContents"/>
              <w:bidi w:val="0"/>
              <w:spacing w:before="0" w:after="283"/>
              <w:jc w:val="left"/>
              <w:rPr/>
            </w:pPr>
            <w:r>
              <w:rPr/>
              <w:t> </w:t>
            </w:r>
            <w:bookmarkStart w:id="310" w:name="xdx_404_ecustom--RecognitionOfLiabilitie"/>
            <w:bookmarkEnd w:id="310"/>
          </w:p>
        </w:tc>
      </w:tr>
      <w:tr>
        <w:trPr/>
        <w:tc>
          <w:tcPr>
            <w:tcW w:w="70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liabilities assumed as part of business combination</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w:t>
            </w:r>
          </w:p>
        </w:tc>
        <w:tc>
          <w:tcPr>
            <w:tcW w:w="114" w:type="dxa"/>
            <w:tcBorders/>
            <w:shd w:fill="CCEEFF" w:val="clear"/>
            <w:vAlign w:val="center"/>
          </w:tcPr>
          <w:p>
            <w:pPr>
              <w:pStyle w:val="TableContents"/>
              <w:bidi w:val="0"/>
              <w:spacing w:before="0" w:after="283"/>
              <w:jc w:val="left"/>
              <w:rPr/>
            </w:pPr>
            <w:r>
              <w:rPr/>
              <w:t> </w:t>
            </w:r>
            <w:bookmarkStart w:id="311" w:name="xdx_403_ecustom--CommonStockIssuedInSett"/>
            <w:bookmarkEnd w:id="311"/>
          </w:p>
        </w:tc>
      </w:tr>
      <w:tr>
        <w:trPr/>
        <w:tc>
          <w:tcPr>
            <w:tcW w:w="70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in settlement of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w:t>
            </w:r>
          </w:p>
        </w:tc>
        <w:tc>
          <w:tcPr>
            <w:tcW w:w="114"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12" w:name="a_007"/>
      <w:bookmarkEnd w:id="312"/>
      <w:r>
        <w:rPr>
          <w:rFonts w:ascii="Times New Roman;Times;Serif" w:hAnsi="Times New Roman;Times;Serif"/>
          <w:b/>
          <w:i w:val="false"/>
          <w:caps w:val="false"/>
          <w:smallCaps w:val="false"/>
          <w:sz w:val="20"/>
        </w:rPr>
        <w:t>NOTES TO THE CONDENSED CONSOLIDATED FINANCIAL STATEMENTS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2026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13" w:name="xdx_804_eus-gaap--OrganizationConsolidat"/>
      <w:bookmarkEnd w:id="313"/>
      <w:r>
        <w:rPr>
          <w:rFonts w:ascii="Times New Roman;Times;Serif" w:hAnsi="Times New Roman;Times;Serif"/>
          <w:b/>
          <w:i w:val="false"/>
          <w:caps w:val="false"/>
          <w:smallCaps w:val="false"/>
          <w:sz w:val="20"/>
        </w:rPr>
        <w:t>NOTE 1</w:t>
      </w:r>
      <w:r>
        <w:rPr>
          <w:rFonts w:ascii="Times New Roman;Times;Serif" w:hAnsi="Times New Roman;Times;Serif"/>
          <w:b w:val="false"/>
          <w:i w:val="false"/>
          <w:caps w:val="false"/>
          <w:smallCaps w:val="false"/>
          <w:sz w:val="20"/>
        </w:rPr>
        <w:t xml:space="preserve"> – </w:t>
      </w:r>
      <w:bookmarkStart w:id="314" w:name="xdx_821_zFIqG3UGzhDg"/>
      <w:bookmarkEnd w:id="314"/>
      <w:r>
        <w:rPr>
          <w:rFonts w:ascii="Times New Roman;Times;Serif" w:hAnsi="Times New Roman;Times;Serif"/>
          <w:b/>
          <w:i w:val="false"/>
          <w:caps w:val="false"/>
          <w:smallCaps w:val="false"/>
          <w:sz w:val="20"/>
        </w:rPr>
        <w:t>NATURE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and organization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Corp. (the “Company”, “we”, “us” and “our”) is a technology company operating a digital infrastructure platform focused on the tokenization and exchange of real-world assets (“RWAs”) and other commodity-linked financial products. On May 28, 2025, the Company acquired Streamex Exchange Corporation (“Streamex Exchange”), a software development company based in Vancouver, British Columbia. In connection with this strategic expansion, on September 12, 2025, the Company changed its corporate name from BioSig Technologies, Inc. to Streamex Corp., and its common stock began trading on The Nasdaq Capital Market under the ticker symbol “STEX” (formerly “BSGM”).</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Streamex Exchange was completed pursuant to that certain Share Purchase Agreement dated as of May 23, 2025 (as amended on May 27, 2025, the “Share Purchase Agreement”) by and among the Company, BST Sub ULC, an unlimited liability company organized under the laws of the Province of British Columbia and a wholly owned subsidiary of the Company (“ExchangeCo”), 1540875 B.C. Ltd., a British Columbia company and a wholly owned subsidiary of the Company (“Callco”), the shareholders of Streamex Exchange, and 1540873 B.C. Ltd., as trustee (the “Trustee”) under the related exchange rights agreement.</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in connection with the Company’s strategic focus on its digital asset and tokenization business, the Company ceased the remaining operations of its legacy ViralClear Pharmaceuticals, Inc. (“ViralClear”) and BioSig AI Sciences, Inc. (“BioSig AI”) subsidiaries and does not intend to recommence their operations. Each business permanently ceased to be used and was disposed of by abandonment during the second quarter of 2026. Neither business generated revenue during any period presented, and the subsidiaries held aggregate cash balances of approximately $</w:t>
      </w:r>
      <w:bookmarkStart w:id="315" w:name="xdx_909_eus-gaap--Revenues_pn3n3_c202601"/>
      <w:bookmarkEnd w:id="315"/>
      <w:r>
        <w:rPr>
          <w:rFonts w:ascii="Times New Roman;Times;Serif" w:hAnsi="Times New Roman;Times;Serif"/>
          <w:b w:val="false"/>
          <w:i w:val="false"/>
          <w:caps w:val="false"/>
          <w:smallCaps w:val="false"/>
          <w:sz w:val="20"/>
        </w:rPr>
        <w:t>7 as of June 30, 2026. The Company concluded that the abandonment did not represent a strategic shift that has had or will have a major effect on its operations or financial results and, accordingly, the disposal is not presented as a discontinued operation, and the results of these subsidiaries remain included in continuing operations. No impairment charge was recognized in connection with the abandonment.</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16" w:name="xdx_802_eus-gaap--SubstantialDoubtAboutG"/>
      <w:bookmarkEnd w:id="316"/>
      <w:r>
        <w:rPr>
          <w:rFonts w:ascii="Times New Roman;Times;Serif" w:hAnsi="Times New Roman;Times;Serif"/>
          <w:b/>
          <w:i w:val="false"/>
          <w:caps w:val="false"/>
          <w:smallCaps w:val="false"/>
          <w:sz w:val="20"/>
        </w:rPr>
        <w:t>NOTE 2</w:t>
      </w:r>
      <w:r>
        <w:rPr>
          <w:rFonts w:ascii="Times New Roman;Times;Serif" w:hAnsi="Times New Roman;Times;Serif"/>
          <w:b w:val="false"/>
          <w:i w:val="false"/>
          <w:caps w:val="false"/>
          <w:smallCaps w:val="false"/>
          <w:sz w:val="20"/>
        </w:rPr>
        <w:t xml:space="preserve"> – </w:t>
      </w:r>
      <w:bookmarkStart w:id="317" w:name="xdx_828_z5lZzYd2NDQ6"/>
      <w:bookmarkEnd w:id="317"/>
      <w:r>
        <w:rPr>
          <w:rFonts w:ascii="Times New Roman;Times;Serif" w:hAnsi="Times New Roman;Times;Serif"/>
          <w:b/>
          <w:i w:val="false"/>
          <w:caps w:val="false"/>
          <w:smallCaps w:val="false"/>
          <w:sz w:val="20"/>
        </w:rPr>
        <w:t>LIQUIDITY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working capital of approximately $</w:t>
      </w:r>
      <w:bookmarkStart w:id="318" w:name="xdx_90C_ecustom--WorkingCaptalDeficit_iI"/>
      <w:bookmarkEnd w:id="318"/>
      <w:r>
        <w:rPr>
          <w:rFonts w:ascii="Times New Roman;Times;Serif" w:hAnsi="Times New Roman;Times;Serif"/>
          <w:b w:val="false"/>
          <w:i w:val="false"/>
          <w:caps w:val="false"/>
          <w:smallCaps w:val="false"/>
          <w:sz w:val="20"/>
        </w:rPr>
        <w:t>32,841 and cash of $</w:t>
      </w:r>
      <w:bookmarkStart w:id="319" w:name="xdx_90E_eus-gaap--CashAndCashEquivalents"/>
      <w:bookmarkEnd w:id="319"/>
      <w:r>
        <w:rPr>
          <w:rFonts w:ascii="Times New Roman;Times;Serif" w:hAnsi="Times New Roman;Times;Serif"/>
          <w:b w:val="false"/>
          <w:i w:val="false"/>
          <w:caps w:val="false"/>
          <w:smallCaps w:val="false"/>
          <w:sz w:val="20"/>
        </w:rPr>
        <w:t>5,605. For the six months ended June 30, 2026, we used $</w:t>
      </w:r>
      <w:bookmarkStart w:id="320" w:name="xdx_900_eus-gaap--NetCashProvidedByUsedI"/>
      <w:bookmarkEnd w:id="320"/>
      <w:r>
        <w:rPr>
          <w:rFonts w:ascii="Times New Roman;Times;Serif" w:hAnsi="Times New Roman;Times;Serif"/>
          <w:b w:val="false"/>
          <w:i w:val="false"/>
          <w:caps w:val="false"/>
          <w:smallCaps w:val="false"/>
          <w:sz w:val="20"/>
        </w:rPr>
        <w:t>21,918 in operating activities, generated $</w:t>
      </w:r>
      <w:bookmarkStart w:id="321" w:name="xdx_902_eus-gaap--NetCashProvidedByUsedI"/>
      <w:bookmarkEnd w:id="321"/>
      <w:r>
        <w:rPr>
          <w:rFonts w:ascii="Times New Roman;Times;Serif" w:hAnsi="Times New Roman;Times;Serif"/>
          <w:b w:val="false"/>
          <w:i w:val="false"/>
          <w:caps w:val="false"/>
          <w:smallCaps w:val="false"/>
          <w:sz w:val="20"/>
        </w:rPr>
        <w:t>9,163 in investing activities, and used $</w:t>
      </w:r>
      <w:bookmarkStart w:id="322" w:name="xdx_902_eus-gaap--NetCashProvidedByUsedI"/>
      <w:bookmarkEnd w:id="322"/>
      <w:r>
        <w:rPr>
          <w:rFonts w:ascii="Times New Roman;Times;Serif" w:hAnsi="Times New Roman;Times;Serif"/>
          <w:b w:val="false"/>
          <w:i w:val="false"/>
          <w:caps w:val="false"/>
          <w:smallCaps w:val="false"/>
          <w:sz w:val="20"/>
        </w:rPr>
        <w:t>1,882 in financing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strengthened its liquidity position through financing transactions and asset monetization activities and eliminated its outstanding convertible debt. In January 2026, the Company completed an underwritten public offering generating net proceeds of $</w:t>
      </w:r>
      <w:bookmarkStart w:id="323" w:name="xdx_905_eus-gaap--ProceedsFromIssuanceIn"/>
      <w:bookmarkEnd w:id="323"/>
      <w:r>
        <w:rPr>
          <w:rFonts w:ascii="Times New Roman;Times;Serif" w:hAnsi="Times New Roman;Times;Serif"/>
          <w:b w:val="false"/>
          <w:i w:val="false"/>
          <w:caps w:val="false"/>
          <w:smallCaps w:val="false"/>
          <w:sz w:val="20"/>
        </w:rPr>
        <w:t>37,184. The Company also received $</w:t>
      </w:r>
      <w:bookmarkStart w:id="324" w:name="xdx_900_eus-gaap--ProceedsFromSaleOfAvai"/>
      <w:bookmarkEnd w:id="324"/>
      <w:r>
        <w:rPr>
          <w:rFonts w:ascii="Times New Roman;Times;Serif" w:hAnsi="Times New Roman;Times;Serif"/>
          <w:b w:val="false"/>
          <w:i w:val="false"/>
          <w:caps w:val="false"/>
          <w:smallCaps w:val="false"/>
          <w:sz w:val="20"/>
        </w:rPr>
        <w:t>21,003 from the sale of marketable securities and $</w:t>
      </w:r>
      <w:bookmarkStart w:id="325" w:name="xdx_905_ecustom--ProceedsFromSaleOfGold_"/>
      <w:bookmarkEnd w:id="325"/>
      <w:r>
        <w:rPr>
          <w:rFonts w:ascii="Times New Roman;Times;Serif" w:hAnsi="Times New Roman;Times;Serif"/>
          <w:b w:val="false"/>
          <w:i w:val="false"/>
          <w:caps w:val="false"/>
          <w:smallCaps w:val="false"/>
          <w:sz w:val="20"/>
        </w:rPr>
        <w:t>26,410 from the sale of gold bullion that had been classified as held for sale as of December 31, 2025, resulting in a realized gain on sale of gold of $</w:t>
      </w:r>
      <w:bookmarkStart w:id="326" w:name="xdx_90A_eus-gaap--DebtSecuritiesAvailabl"/>
      <w:bookmarkEnd w:id="326"/>
      <w:r>
        <w:rPr>
          <w:rFonts w:ascii="Times New Roman;Times;Serif" w:hAnsi="Times New Roman;Times;Serif"/>
          <w:b w:val="false"/>
          <w:i w:val="false"/>
          <w:caps w:val="false"/>
          <w:smallCaps w:val="false"/>
          <w:sz w:val="20"/>
        </w:rPr>
        <w:t>2,938. On February 6, 2026, $</w:t>
      </w:r>
      <w:bookmarkStart w:id="327" w:name="xdx_904_eus-gaap--ConversionOfStockAmoun"/>
      <w:bookmarkEnd w:id="327"/>
      <w:r>
        <w:rPr>
          <w:rFonts w:ascii="Times New Roman;Times;Serif" w:hAnsi="Times New Roman;Times;Serif"/>
          <w:b w:val="false"/>
          <w:i w:val="false"/>
          <w:caps w:val="false"/>
          <w:smallCaps w:val="false"/>
          <w:sz w:val="20"/>
        </w:rPr>
        <w:t xml:space="preserve">15,000 of principal was converted into </w:t>
      </w:r>
      <w:bookmarkStart w:id="328" w:name="xdx_900_eus-gaap--ConversionOfStockShare"/>
      <w:bookmarkEnd w:id="328"/>
      <w:r>
        <w:rPr>
          <w:rFonts w:ascii="Times New Roman;Times;Serif" w:hAnsi="Times New Roman;Times;Serif"/>
          <w:b w:val="false"/>
          <w:i w:val="false"/>
          <w:caps w:val="false"/>
          <w:smallCaps w:val="false"/>
          <w:sz w:val="20"/>
        </w:rPr>
        <w:t>3,750,000 shares of common stock. The Company subsequently paid approximately $</w:t>
      </w:r>
      <w:bookmarkStart w:id="329" w:name="xdx_901_eus-gaap--Cash_iI_pn3n3_c2026020"/>
      <w:bookmarkEnd w:id="329"/>
      <w:r>
        <w:rPr>
          <w:rFonts w:ascii="Times New Roman;Times;Serif" w:hAnsi="Times New Roman;Times;Serif"/>
          <w:b w:val="false"/>
          <w:i w:val="false"/>
          <w:caps w:val="false"/>
          <w:smallCaps w:val="false"/>
          <w:sz w:val="20"/>
        </w:rPr>
        <w:t>38,903 in cash to settle the remaining obligations, consisting of $</w:t>
      </w:r>
      <w:bookmarkStart w:id="330" w:name="xdx_90A_eus-gaap--DebtInstrumentFaceAmou"/>
      <w:bookmarkEnd w:id="330"/>
      <w:r>
        <w:rPr>
          <w:rFonts w:ascii="Times New Roman;Times;Serif" w:hAnsi="Times New Roman;Times;Serif"/>
          <w:b w:val="false"/>
          <w:i w:val="false"/>
          <w:caps w:val="false"/>
          <w:smallCaps w:val="false"/>
          <w:sz w:val="20"/>
        </w:rPr>
        <w:t>35,000 of principal, a $</w:t>
      </w:r>
      <w:bookmarkStart w:id="331" w:name="xdx_909_eus-gaap--DebtInstrumentPeriodic"/>
      <w:bookmarkEnd w:id="331"/>
      <w:r>
        <w:rPr>
          <w:rFonts w:ascii="Times New Roman;Times;Serif" w:hAnsi="Times New Roman;Times;Serif"/>
          <w:b w:val="false"/>
          <w:i w:val="false"/>
          <w:caps w:val="false"/>
          <w:smallCaps w:val="false"/>
          <w:sz w:val="20"/>
        </w:rPr>
        <w:t>3,500 prepayment premium, and approximately $</w:t>
      </w:r>
      <w:bookmarkStart w:id="332" w:name="xdx_907_eus-gaap--DebtInstrumentIncrease"/>
      <w:bookmarkEnd w:id="332"/>
      <w:r>
        <w:rPr>
          <w:rFonts w:ascii="Times New Roman;Times;Serif" w:hAnsi="Times New Roman;Times;Serif"/>
          <w:b w:val="false"/>
          <w:i w:val="false"/>
          <w:caps w:val="false"/>
          <w:smallCaps w:val="false"/>
          <w:sz w:val="20"/>
        </w:rPr>
        <w:t>403 of accrued interest, and recognized a loss on extinguishment of $</w:t>
      </w:r>
      <w:bookmarkStart w:id="333" w:name="xdx_906_eus-gaap--GainsLossesOnExtinguis"/>
      <w:bookmarkEnd w:id="333"/>
      <w:r>
        <w:rPr>
          <w:rFonts w:ascii="Times New Roman;Times;Serif" w:hAnsi="Times New Roman;Times;Serif"/>
          <w:b w:val="false"/>
          <w:i w:val="false"/>
          <w:caps w:val="false"/>
          <w:smallCaps w:val="false"/>
          <w:sz w:val="20"/>
        </w:rPr>
        <w:t>3,057.</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principal sources of liquidity, in addition to cash on hand, include marketable securities of $</w:t>
      </w:r>
      <w:bookmarkStart w:id="334" w:name="xdx_90C_eus-gaap--MarketableSecuritiesCu"/>
      <w:bookmarkEnd w:id="334"/>
      <w:r>
        <w:rPr>
          <w:rFonts w:ascii="Times New Roman;Times;Serif" w:hAnsi="Times New Roman;Times;Serif"/>
          <w:b w:val="false"/>
          <w:i w:val="false"/>
          <w:caps w:val="false"/>
          <w:smallCaps w:val="false"/>
          <w:sz w:val="20"/>
        </w:rPr>
        <w:t>12,861, digital assets of $</w:t>
      </w:r>
      <w:bookmarkStart w:id="335" w:name="xdx_904_eus-gaap--CryptoAssetFairValueCu"/>
      <w:bookmarkEnd w:id="335"/>
      <w:r>
        <w:rPr>
          <w:rFonts w:ascii="Times New Roman;Times;Serif" w:hAnsi="Times New Roman;Times;Serif"/>
          <w:b w:val="false"/>
          <w:i w:val="false"/>
          <w:caps w:val="false"/>
          <w:smallCaps w:val="false"/>
          <w:sz w:val="20"/>
        </w:rPr>
        <w:t>6,001, and its investment in Metalayer, with a carrying amount of $</w:t>
      </w:r>
      <w:bookmarkStart w:id="336" w:name="xdx_90F_ecustom--InvestmentMeasuredAtNet"/>
      <w:bookmarkEnd w:id="336"/>
      <w:r>
        <w:rPr>
          <w:rFonts w:ascii="Times New Roman;Times;Serif" w:hAnsi="Times New Roman;Times;Serif"/>
          <w:b w:val="false"/>
          <w:i w:val="false"/>
          <w:caps w:val="false"/>
          <w:smallCaps w:val="false"/>
          <w:sz w:val="20"/>
        </w:rPr>
        <w:t>1,828, which is measured using net asset value per share as a practical expedient for fair value and, following expiration of a three-month lock-up on August 26, 2026, is redeemable only as of the last business day of each calendar quarter upon 15 calendar days’ prior written notice, such that the earliest available redemption date is September 30, 2026. The Company also holds a significant ownership interest in Streamex Ltd. in the form of GLDY tokens. As part of its capital strategy, the Company intends to monetize portions of this interest through sales to third-party participants to support its liquidity and growth initiatives, as it did during the six months ended June 30, 2026. The realization and timing of any such proceeds depend on identifying suitable counterparties. On July 1, 2026, the Company disbursed $</w:t>
      </w:r>
      <w:bookmarkStart w:id="337" w:name="xdx_902_eus-gaap--ProceedsFromLoanOrigin"/>
      <w:bookmarkEnd w:id="337"/>
      <w:r>
        <w:rPr>
          <w:rFonts w:ascii="Times New Roman;Times;Serif" w:hAnsi="Times New Roman;Times;Serif"/>
          <w:b w:val="false"/>
          <w:i w:val="false"/>
          <w:caps w:val="false"/>
          <w:smallCaps w:val="false"/>
          <w:sz w:val="20"/>
        </w:rPr>
        <w:t>5,000 of its USD Coin, a stablecoin issued by Circle Internet Financial, LLC (“USDC”) holdings, together with 1,069 GLDY tokens, to an independent proprietary trading firm under an interest-free loan agreement to support secondary-market liquidity for GLDY. The Company may recall the loaned assets at any time on 30 days’ notice. See Note 23 — Subsequent Events.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incurring operating losses and negative cash flows until our digital infrastructure platform, including Streamex Exchange’s tokenization and GLDY offerings, achieves sustained commercial scale. “GLDY” refers to the Company’s gold-backed digital token, which represents an economic interest in physical gold held to support the token program and is issued through Streamex Ltd. During the six months ended June 30, 2026, the Company launched GLDY and began generating gold lease income through its tokenized gold platform; however, income recognized to date remain immaterial. We expect to incur additional costs related to platform development, regulatory compliance, and strategic partnerships as we scale income-generating activities. The timing and extent of future income growth will depend on, among other things, continued investor adoption of GLDY, growth in assets under management, completion of development milestones, regulatory considerations, market conditions, and the successful commercialization of the Streamex Exchange platform and related offerings.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whether conditions and events, considered in the aggregate, raise substantial doubt about the Company’s ability to continue as a going concern for the one-year period following the date these unaudited condensed consolidated financial statements are issued, in accordance with ASC 205-40, Presentation of Financial Statements — Going Concern. In performing this evaluation, management considered the Company’s recurring operating losses, negative cash flows from operations, existing cash and other available financial resources, current obligations, and forecasted operating and capital expenditures. Based on this evaluation, including the Company’s cash of $</w:t>
      </w:r>
      <w:bookmarkStart w:id="338" w:name="xdx_909_eus-gaap--Cash_iI_pn3n3_c2026063"/>
      <w:bookmarkEnd w:id="338"/>
      <w:r>
        <w:rPr>
          <w:rFonts w:ascii="Times New Roman;Times;Serif" w:hAnsi="Times New Roman;Times;Serif"/>
          <w:b w:val="false"/>
          <w:i w:val="false"/>
          <w:caps w:val="false"/>
          <w:smallCaps w:val="false"/>
          <w:sz w:val="20"/>
        </w:rPr>
        <w:t>5,605, working capital of $</w:t>
      </w:r>
      <w:bookmarkStart w:id="339" w:name="xdx_902_ecustom--WorkingCaptalDeficit_iI"/>
      <w:bookmarkEnd w:id="339"/>
      <w:r>
        <w:rPr>
          <w:rFonts w:ascii="Times New Roman;Times;Serif" w:hAnsi="Times New Roman;Times;Serif"/>
          <w:b w:val="false"/>
          <w:i w:val="false"/>
          <w:caps w:val="false"/>
          <w:smallCaps w:val="false"/>
          <w:sz w:val="20"/>
        </w:rPr>
        <w:t>32,841, and other financial resources available to the Company as described above, management concluded that substantial doubt about the Company’s ability to continue as a going concern was not raised as of the issuance date of these financial statements. Management’s forecast indicates that the Company’s available liquidity is expected to be sufficient to meet its obligations as they become due for at least one year following the issuance date of these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Board authorized a stock repurchase program. See Note 23, Subsequent Events, for additional information. The Company’s liquidity assessment and going concern evaluation as of June 30, 2026 do not assume repurchases under the authorization.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40" w:name="xdx_804_eus-gaap--SignificantAccountingP"/>
      <w:bookmarkEnd w:id="340"/>
      <w:r>
        <w:rPr>
          <w:rFonts w:ascii="Times New Roman;Times;Serif" w:hAnsi="Times New Roman;Times;Serif"/>
          <w:b/>
          <w:i w:val="false"/>
          <w:caps w:val="false"/>
          <w:smallCaps w:val="false"/>
          <w:sz w:val="20"/>
        </w:rPr>
        <w:t>NOTE 3</w:t>
      </w:r>
      <w:r>
        <w:rPr>
          <w:rFonts w:ascii="Times New Roman;Times;Serif" w:hAnsi="Times New Roman;Times;Serif"/>
          <w:b w:val="false"/>
          <w:i w:val="false"/>
          <w:caps w:val="false"/>
          <w:smallCaps w:val="false"/>
          <w:sz w:val="20"/>
        </w:rPr>
        <w:t xml:space="preserve"> – </w:t>
      </w:r>
      <w:bookmarkStart w:id="341" w:name="xdx_82F_z24r3TnwjjC9"/>
      <w:bookmarkEnd w:id="341"/>
      <w:r>
        <w:rPr>
          <w:rFonts w:ascii="Times New Roman;Times;Serif" w:hAnsi="Times New Roman;Times;Serif"/>
          <w:b/>
          <w:i w:val="false"/>
          <w:caps w:val="false"/>
          <w:smallCaps w:val="false"/>
          <w:sz w:val="20"/>
        </w:rPr>
        <w:t>SUMMARY OF SIGNIFICANT ACCOUNTING POLICIES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42" w:name="xdx_841_eus-gaap--BasisOfAccountingPolic"/>
      <w:bookmarkEnd w:id="342"/>
      <w:r>
        <w:rPr>
          <w:rFonts w:ascii="Times New Roman;Times;Serif" w:hAnsi="Times New Roman;Times;Serif"/>
          <w:b w:val="false"/>
          <w:i/>
          <w:caps w:val="false"/>
          <w:smallCaps w:val="false"/>
          <w:sz w:val="20"/>
        </w:rPr>
        <w:t xml:space="preserve">Basis of Presentation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generally accepted accounting principles in the United States (“GAAP”) and the applicable rules and regulations of the Securities and Exchange Commission (“SEC”) regarding interim financial reporting. Certain information and note disclosures normally included in GAAP financial statements have been condensed or omitted pursuant to such rules and regulations, and these statements should be read in conjunction with the audited consolidated financial statements and notes in the Company’s Annual Report on Form 10-K for the year ended December 31, 2025 (the “Annual Report”). The condensed consolidated balance sheet as of December 31, 2025 was derived from those audited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management’s opinion, these statements reflect all adjustments, consisting only of normal recurring adjustments, necessary for a fair statement of the Company’s financial position, results of operations, and cash flows for the periods presented. Preparing financial statements in conformity with GAAP requires management to make estimates and assumptions that affect the reported amounts; actual results could differ from those estimates. Results for the three and six months ended June 30, 2026 are not necessarily indicative of the results expected for the year ending December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current period presentation. There were no material changes to the Company’s significant accounting policies from those disclosed in the Annual Report, other than as described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43" w:name="xdx_84D_eus-gaap--ConsolidationPolicyTex"/>
      <w:bookmarkEnd w:id="343"/>
      <w:r>
        <w:rPr>
          <w:rFonts w:ascii="Times New Roman;Times;Serif" w:hAnsi="Times New Roman;Times;Serif"/>
          <w:b w:val="false"/>
          <w:i/>
          <w:caps w:val="false"/>
          <w:smallCaps w:val="false"/>
          <w:sz w:val="20"/>
        </w:rPr>
        <w:t>Basis of Consolidation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Streamex Corp. and its consolidated subsidiaries, including variable interest entities (“VIEs”) for which the Company is the primary beneficiary. All intercompany accounts and transactions have been eliminated. Changes in the Company’s ownership interest in a subsidiary that do not result in a loss of control are accounted for as equity transactions. See Note 12 — Streamex Ltd. (VIE).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44" w:name="xdx_84C_eus-gaap--UseOfEstimates_zLdBiev"/>
      <w:bookmarkEnd w:id="344"/>
      <w:r>
        <w:rPr>
          <w:rFonts w:ascii="Times New Roman;Times;Serif" w:hAnsi="Times New Roman;Times;Serif"/>
          <w:b w:val="false"/>
          <w:i/>
          <w:caps w:val="false"/>
          <w:smallCaps w:val="false"/>
          <w:sz w:val="20"/>
        </w:rPr>
        <w:t>Use of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condensed consolidated financial statements in conformity with GAAP requires us to make estimates and assumptions that affect the amounts reported and disclosed in the financial statements and the accompanying notes. Changes in circumstances could cause actual results to differ materially from these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45" w:name="xdx_84E_eus-gaap--ForeignCurrencyTransac"/>
      <w:bookmarkEnd w:id="345"/>
      <w:r>
        <w:rPr>
          <w:rFonts w:ascii="Times New Roman;Times;Serif" w:hAnsi="Times New Roman;Times;Serif"/>
          <w:b w:val="false"/>
          <w:i/>
          <w:caps w:val="false"/>
          <w:smallCaps w:val="false"/>
          <w:sz w:val="20"/>
        </w:rPr>
        <w:t>Foreign Currency Translation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Company’s Canadian subsidiary, ExchangeCo, is the Canadian dollar. Assets and liabilities denominated in Canadian dollars are translated into U.S. dollars at the exchange rate in effect at the balance sheet date, while revenues and expenses are translated at the average exchange rate for the period. Resulting translation adjustments are recorded in accumulated other comprehensive income (loss) as a separate component of stockholders’ equity.</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46" w:name="xdx_84D_ecustom--GoldLeaseIncomePolicyTe"/>
      <w:bookmarkEnd w:id="346"/>
      <w:r>
        <w:rPr>
          <w:rFonts w:ascii="Times New Roman;Times;Serif" w:hAnsi="Times New Roman;Times;Serif"/>
          <w:b w:val="false"/>
          <w:i/>
          <w:caps w:val="false"/>
          <w:smallCaps w:val="false"/>
          <w:sz w:val="20"/>
        </w:rPr>
        <w:t>Gold Lease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an in-kind gold return on gold made available to a third-party leasing program. Because the arrangement is the deployment of the Company’s own gold for a stated return rather than a contract with a customer, it is outside the scope of ASC 606; income is recognized over the lease term using an effective-yield method, with a gold-denominated receivable recorded until settled in kind. See Note 4 — Gold Lease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47" w:name="xdx_845_eus-gaap--MarketableSecuritiesPo"/>
      <w:bookmarkEnd w:id="347"/>
      <w:r>
        <w:rPr>
          <w:rFonts w:ascii="Times New Roman;Times;Serif" w:hAnsi="Times New Roman;Times;Serif"/>
          <w:b w:val="false"/>
          <w:i/>
          <w:caps w:val="false"/>
          <w:smallCaps w:val="false"/>
          <w:sz w:val="20"/>
        </w:rPr>
        <w:t>Marketable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securities consist of equity securities and short-term exchange-traded fund investments measured at fair value with changes in fair value recognized in earnings, in accordance with ASC 321, Investments — Equity Securities. Fair value is determined using quoted market prices in active markets (Level 1) (see Note 8 — Marketable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48" w:name="xdx_841_eus-gaap--InvestmentPolicyTextBl"/>
      <w:bookmarkEnd w:id="348"/>
      <w:r>
        <w:rPr>
          <w:rFonts w:ascii="Times New Roman;Times;Serif" w:hAnsi="Times New Roman;Times;Serif"/>
          <w:b w:val="false"/>
          <w:i/>
          <w:caps w:val="false"/>
          <w:smallCaps w:val="false"/>
          <w:sz w:val="20"/>
        </w:rPr>
        <w:t>Investment Measured at Net Asset Value (“NAV”)</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investments in entities that are investment companies and calculate net asset value per share are measured at fair value using NAV as a practical expedient and are excluded from the fair value hierarchy. See Note 9 — Investment Measured at NAV for more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49" w:name="xdx_848_ecustom--OtherAssetsPolicyTextBl"/>
      <w:bookmarkEnd w:id="349"/>
      <w:r>
        <w:rPr>
          <w:rFonts w:ascii="Times New Roman;Times;Serif" w:hAnsi="Times New Roman;Times;Serif"/>
          <w:b w:val="false"/>
          <w:i/>
          <w:caps w:val="false"/>
          <w:smallCaps w:val="false"/>
          <w:sz w:val="20"/>
        </w:rPr>
        <w:t>Other Assets — Gold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is recorded at cost, including directly attributable transaction costs, and is classified as a non-current asset. Gold received as in-kind lease yield is added to the gold asset at the fair value of the ounces received on the receipt date. Because the gold backs the Company’s tokenized gold program and is not held for sale in the ordinary course, it is accounted for as a long-lived asset under ASC 360 and tested for impairment when events indicate its carrying amount may not be recoverable; it is not carried at fair value or net realizable value. See Note 10 — Other Assets — Gold.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50" w:name="xdx_841_ecustom--DigitalAssetsPolicyText"/>
      <w:bookmarkEnd w:id="350"/>
      <w:r>
        <w:rPr>
          <w:rFonts w:ascii="Times New Roman;Times;Serif" w:hAnsi="Times New Roman;Times;Serif"/>
          <w:b w:val="false"/>
          <w:i/>
          <w:caps w:val="false"/>
          <w:smallCaps w:val="false"/>
          <w:sz w:val="20"/>
        </w:rPr>
        <w:t>Digital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digital assets consist of USDC, a U.S. dollar–backed stablecoin issued by Circle Internet Financial, LLC that is redeemable one-for-one for U.S. dollars from the issuer’s segregated reserves. Because that redemption right is an enforceable claim on the issuer’s underlying assets, USDC is outside the scope of the crypto-asset fair-value model in ASC 350-60, and because it is a financial asset it is not an indefinite-lived intangible asset. The Company therefore accounts for USDC as a receivable under ASC 310, carried at the amount expected to be realized on redemption or conversion — which approximates both cost and fair value given the one-for-one peg — net of any expected credit loss allowance, which has been de minimis.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treat USDC as cash or a cash equivalent, because it is not legal tender, is not issued or insured by a government or bank, and has no fixed maturity; it is presented separately from cash. USDC is classified as a current asset when the Company expects to realize or use it within its normal operating cycle. Stablecoin accounting continues to evolve, including an active FASB project on whether certain stablecoins may qualify as cash equivalents; the Company monitors this project, which is not yet effective, and will reassess its accounting if new guidance is issued. See Note 11 — Digital Assets.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51" w:name="xdx_844_eus-gaap--LesseeLeasesPolicyText"/>
      <w:bookmarkEnd w:id="351"/>
      <w:r>
        <w:rPr>
          <w:rFonts w:ascii="Times New Roman;Times;Serif" w:hAnsi="Times New Roman;Times;Serif"/>
          <w:b w:val="false"/>
          <w:i/>
          <w:caps w:val="false"/>
          <w:smallCaps w:val="false"/>
          <w:sz w:val="20"/>
        </w:rPr>
        <w:t>Leases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if an arrangement is a lease at inception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Company’s leases consist of a single operating lease for its corporate office located in Winter Park, Florida. Operating lease right-of-use (“ROU”) assets and current and non-current operating lease liabilities are presented as separate line items in the unaudited condensed consolidated balance sheets. Operating lease ROU assets and liabilities are recognized at the lease commencement date based on the present value of future minimum lease payments over the lease term. Operating lease ROU assets also include any lease payments made before commencement and exclude lease incentives. As the Company’s lease does not provide an implicit rate, the Company uses its incremental borrowing rate based on information available at commencement to determine the present value of future payments. Lease terms include options to extend or terminate the lease only when it is reasonably certain that such option will be exercised.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recognized on a straight-line basis over the lease term. The Company has made the accounting policy election to account for short-term leases, including its month-to-month and short-duration office arrangements with terms of 12 months or less, by recognizing the associated lease payments in the unaudited condensed consolidated statements of operations on a straight-line basis over the lease term, without recognizing a right-of-use asset or lease liability for those arrangements. The Company’s real estate lease agreement contains lease and non-lease components, for which the Company has made the accounting policy election to account for such components as a single lease component.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52" w:name="xdx_84E_ecustom--NoncontrollingInterests"/>
      <w:bookmarkEnd w:id="352"/>
      <w:r>
        <w:rPr>
          <w:rFonts w:ascii="Times New Roman;Times;Serif" w:hAnsi="Times New Roman;Times;Serif"/>
          <w:b w:val="false"/>
          <w:i/>
          <w:caps w:val="false"/>
          <w:smallCaps w:val="false"/>
          <w:sz w:val="20"/>
        </w:rPr>
        <w:t>Noncontrolling interests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represent the equity in consolidated subsidiaries and the consolidated variable interest entity not attributable to the Company, measured under the accumulation method. Results are attributed to the noncontrolling interests based on their ownership during the period, using time-weighted percentages when ownership changes during the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53" w:name="xdx_84C_ecustom--ConcentrationOfAssetsPo"/>
      <w:bookmarkEnd w:id="353"/>
      <w:r>
        <w:rPr>
          <w:rFonts w:ascii="Times New Roman;Times;Serif" w:hAnsi="Times New Roman;Times;Serif"/>
          <w:b w:val="false"/>
          <w:i/>
          <w:caps w:val="false"/>
          <w:smallCaps w:val="false"/>
          <w:sz w:val="20"/>
        </w:rPr>
        <w:t>Concentration of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consolidated assets totaled $</w:t>
      </w:r>
      <w:bookmarkStart w:id="354" w:name="xdx_90B_ecustom--AssetsOtherThanProperty"/>
      <w:bookmarkEnd w:id="354"/>
      <w:r>
        <w:rPr>
          <w:rFonts w:ascii="Times New Roman;Times;Serif" w:hAnsi="Times New Roman;Times;Serif"/>
          <w:b w:val="false"/>
          <w:i w:val="false"/>
          <w:caps w:val="false"/>
          <w:smallCaps w:val="false"/>
          <w:sz w:val="20"/>
        </w:rPr>
        <w:t xml:space="preserve">159,584, of which approximately </w:t>
      </w:r>
      <w:bookmarkStart w:id="355" w:name="xdx_90B_ecustom--ConsolidatedAssetPercen"/>
      <w:bookmarkEnd w:id="355"/>
      <w:r>
        <w:rPr>
          <w:rFonts w:ascii="Times New Roman;Times;Serif" w:hAnsi="Times New Roman;Times;Serif"/>
          <w:b w:val="false"/>
          <w:i w:val="false"/>
          <w:caps w:val="false"/>
          <w:smallCaps w:val="false"/>
          <w:sz w:val="20"/>
        </w:rPr>
        <w:t>19.6% ($</w:t>
      </w:r>
      <w:bookmarkStart w:id="356" w:name="xdx_903_eus-gaap--Assets_iI_pn3n3_c20260"/>
      <w:bookmarkEnd w:id="356"/>
      <w:r>
        <w:rPr>
          <w:rFonts w:ascii="Times New Roman;Times;Serif" w:hAnsi="Times New Roman;Times;Serif"/>
          <w:b w:val="false"/>
          <w:i w:val="false"/>
          <w:caps w:val="false"/>
          <w:smallCaps w:val="false"/>
          <w:sz w:val="20"/>
        </w:rPr>
        <w:t xml:space="preserve">31,218) were held by entities domiciled in the United States, approximately </w:t>
      </w:r>
      <w:bookmarkStart w:id="357" w:name="xdx_907_ecustom--ConsolidatedAssetPercen"/>
      <w:bookmarkEnd w:id="357"/>
      <w:r>
        <w:rPr>
          <w:rFonts w:ascii="Times New Roman;Times;Serif" w:hAnsi="Times New Roman;Times;Serif"/>
          <w:b w:val="false"/>
          <w:i w:val="false"/>
          <w:caps w:val="false"/>
          <w:smallCaps w:val="false"/>
          <w:sz w:val="20"/>
        </w:rPr>
        <w:t>70.7% ($</w:t>
      </w:r>
      <w:bookmarkStart w:id="358" w:name="xdx_906_eus-gaap--Assets_iI_pn3n3_c20260"/>
      <w:bookmarkEnd w:id="358"/>
      <w:r>
        <w:rPr>
          <w:rFonts w:ascii="Times New Roman;Times;Serif" w:hAnsi="Times New Roman;Times;Serif"/>
          <w:b w:val="false"/>
          <w:i w:val="false"/>
          <w:caps w:val="false"/>
          <w:smallCaps w:val="false"/>
          <w:sz w:val="20"/>
        </w:rPr>
        <w:t xml:space="preserve">112,881) by entities domiciled in Canada, and approximately </w:t>
      </w:r>
      <w:bookmarkStart w:id="359" w:name="xdx_900_ecustom--ConsolidatedAssetPercen"/>
      <w:bookmarkEnd w:id="359"/>
      <w:r>
        <w:rPr>
          <w:rFonts w:ascii="Times New Roman;Times;Serif" w:hAnsi="Times New Roman;Times;Serif"/>
          <w:b w:val="false"/>
          <w:i w:val="false"/>
          <w:caps w:val="false"/>
          <w:smallCaps w:val="false"/>
          <w:sz w:val="20"/>
        </w:rPr>
        <w:t>9.7% ($</w:t>
      </w:r>
      <w:bookmarkStart w:id="360" w:name="xdx_90C_eus-gaap--Assets_iI_pn3n3_c20260"/>
      <w:bookmarkEnd w:id="360"/>
      <w:r>
        <w:rPr>
          <w:rFonts w:ascii="Times New Roman;Times;Serif" w:hAnsi="Times New Roman;Times;Serif"/>
          <w:b w:val="false"/>
          <w:i w:val="false"/>
          <w:caps w:val="false"/>
          <w:smallCaps w:val="false"/>
          <w:sz w:val="20"/>
        </w:rPr>
        <w:t>15,485) by entities domiciled in the Cayman Islands. The Canadian assets are held through ExchangeCo, a wholly owned subsidiary of the Company, and relate to the Company’s Streamex Exchange business. These assets consist primarily of goodwill and intangible assets totaled $</w:t>
      </w:r>
      <w:bookmarkStart w:id="361" w:name="xdx_901_eus-gaap--IntangibleAssetsNetInc"/>
      <w:bookmarkEnd w:id="361"/>
      <w:r>
        <w:rPr>
          <w:rFonts w:ascii="Times New Roman;Times;Serif" w:hAnsi="Times New Roman;Times;Serif"/>
          <w:b w:val="false"/>
          <w:i w:val="false"/>
          <w:caps w:val="false"/>
          <w:smallCaps w:val="false"/>
          <w:sz w:val="20"/>
        </w:rPr>
        <w:t>108,522 and cash of $</w:t>
      </w:r>
      <w:bookmarkStart w:id="362" w:name="xdx_902_eus-gaap--CashEquivalentsAtCarry"/>
      <w:bookmarkEnd w:id="362"/>
      <w:r>
        <w:rPr>
          <w:rFonts w:ascii="Times New Roman;Times;Serif" w:hAnsi="Times New Roman;Times;Serif"/>
          <w:b w:val="false"/>
          <w:i w:val="false"/>
          <w:caps w:val="false"/>
          <w:smallCaps w:val="false"/>
          <w:sz w:val="20"/>
        </w:rPr>
        <w:t>4,307. The Company’s assets held in the Cayman Islands through Streamex Ltd. consisted primarily of physical gold bullion held at cost of $</w:t>
      </w:r>
      <w:bookmarkStart w:id="363" w:name="xdx_907_eus-gaap--OtherAssetsNoncurrent_"/>
      <w:bookmarkEnd w:id="363"/>
      <w:r>
        <w:rPr>
          <w:rFonts w:ascii="Times New Roman;Times;Serif" w:hAnsi="Times New Roman;Times;Serif"/>
          <w:b w:val="false"/>
          <w:i w:val="false"/>
          <w:caps w:val="false"/>
          <w:smallCaps w:val="false"/>
          <w:sz w:val="20"/>
        </w:rPr>
        <w:t>15,464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was $</w:t>
      </w:r>
      <w:bookmarkStart w:id="364" w:name="xdx_90D_eus-gaap--Cash_iI_pn3n3_c2026063"/>
      <w:bookmarkEnd w:id="364"/>
      <w:r>
        <w:rPr>
          <w:rFonts w:ascii="Times New Roman;Times;Serif" w:hAnsi="Times New Roman;Times;Serif"/>
          <w:b w:val="false"/>
          <w:i w:val="false"/>
          <w:caps w:val="false"/>
          <w:smallCaps w:val="false"/>
          <w:sz w:val="20"/>
        </w:rPr>
        <w:t>5,605, consisting of $</w:t>
      </w:r>
      <w:bookmarkStart w:id="365" w:name="xdx_902_eus-gaap--Cash_iI_pn3n3_c2026063"/>
      <w:bookmarkEnd w:id="365"/>
      <w:r>
        <w:rPr>
          <w:rFonts w:ascii="Times New Roman;Times;Serif" w:hAnsi="Times New Roman;Times;Serif"/>
          <w:b w:val="false"/>
          <w:i w:val="false"/>
          <w:caps w:val="false"/>
          <w:smallCaps w:val="false"/>
          <w:sz w:val="20"/>
        </w:rPr>
        <w:t>1,291 held in the United States, $</w:t>
      </w:r>
      <w:bookmarkStart w:id="366" w:name="xdx_903_eus-gaap--Cash_iI_pn3n3_c2026063"/>
      <w:bookmarkEnd w:id="366"/>
      <w:r>
        <w:rPr>
          <w:rFonts w:ascii="Times New Roman;Times;Serif" w:hAnsi="Times New Roman;Times;Serif"/>
          <w:b w:val="false"/>
          <w:i w:val="false"/>
          <w:caps w:val="false"/>
          <w:smallCaps w:val="false"/>
          <w:sz w:val="20"/>
        </w:rPr>
        <w:t>4,307 held in Canada, and $</w:t>
      </w:r>
      <w:bookmarkStart w:id="367" w:name="xdx_904_eus-gaap--Cash_iI_pn3n3_c2026063"/>
      <w:bookmarkEnd w:id="367"/>
      <w:r>
        <w:rPr>
          <w:rFonts w:ascii="Times New Roman;Times;Serif" w:hAnsi="Times New Roman;Times;Serif"/>
          <w:b w:val="false"/>
          <w:i w:val="false"/>
          <w:caps w:val="false"/>
          <w:smallCaps w:val="false"/>
          <w:sz w:val="20"/>
        </w:rPr>
        <w:t>7 held by Streamex Ltd. in the Cayman Islands.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geographic concentrations in accordance with ASC 275, </w:t>
      </w:r>
      <w:r>
        <w:rPr>
          <w:rFonts w:ascii="Times New Roman;Times;Serif" w:hAnsi="Times New Roman;Times;Serif"/>
          <w:b w:val="false"/>
          <w:i/>
          <w:caps w:val="false"/>
          <w:smallCaps w:val="false"/>
          <w:sz w:val="20"/>
        </w:rPr>
        <w:t>Risks and Uncertainties</w:t>
      </w:r>
      <w:r>
        <w:rPr>
          <w:rFonts w:ascii="Times New Roman;Times;Serif" w:hAnsi="Times New Roman;Times;Serif"/>
          <w:b w:val="false"/>
          <w:i w:val="false"/>
          <w:caps w:val="false"/>
          <w:smallCaps w:val="false"/>
          <w:sz w:val="20"/>
        </w:rPr>
        <w:t>, and considers potential exposure to economic, regulatory, and currency-related risks. While the Canadian-based assets and the Cayman Islands-based gold holdings represent a significant portion of consolidated assets, they are not currently subject to material operational, legal, or foreign exchange restrictions. Management believes that the Company is not exposed to heightened risk from geographic concentration, given the nature of the assets, the stability of the jurisdictions involved, and the strategic alignment of the Streamex Exchange business and Streamex Ltd. with the Company’s broader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68" w:name="xdx_84E_eus-gaap--ConcentrationRiskCredi"/>
      <w:bookmarkEnd w:id="368"/>
      <w:r>
        <w:rPr>
          <w:rFonts w:ascii="Times New Roman;Times;Serif" w:hAnsi="Times New Roman;Times;Serif"/>
          <w:b w:val="false"/>
          <w:i/>
          <w:caps w:val="false"/>
          <w:smallCaps w:val="false"/>
          <w:sz w:val="20"/>
        </w:rPr>
        <w:t>Concentration of Income and Credit Risk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all of the Company’s gold lease income of $</w:t>
      </w:r>
      <w:bookmarkStart w:id="369" w:name="xdx_905_eus-gaap--RevenueFromContractWit"/>
      <w:bookmarkStart w:id="370" w:name="xdx_90E_eus-gaap--RevenueFromContractWit"/>
      <w:bookmarkEnd w:id="369"/>
      <w:bookmarkEnd w:id="370"/>
      <w:r>
        <w:rPr>
          <w:rFonts w:ascii="Times New Roman;Times;Serif" w:hAnsi="Times New Roman;Times;Serif"/>
          <w:b w:val="false"/>
          <w:i w:val="false"/>
          <w:caps w:val="false"/>
          <w:smallCaps w:val="false"/>
          <w:sz w:val="20"/>
        </w:rPr>
        <w:t>146 was earned under two gold-denominated arrangements with a single third-party precious-metals counterparty. The Company’s gold-denominated receivable of $</w:t>
      </w:r>
      <w:bookmarkStart w:id="371" w:name="xdx_90B_eus-gaap--ReceivablesNetCurrent_"/>
      <w:bookmarkEnd w:id="371"/>
      <w:r>
        <w:rPr>
          <w:rFonts w:ascii="Times New Roman;Times;Serif" w:hAnsi="Times New Roman;Times;Serif"/>
          <w:b w:val="false"/>
          <w:i w:val="false"/>
          <w:caps w:val="false"/>
          <w:smallCaps w:val="false"/>
          <w:sz w:val="20"/>
        </w:rPr>
        <w:t>54 as of June 30, 2026 was due entirely from the same counterparty. The loss of, or a deterioration in the financial condition of, this counterparty could have a severe near-term effect on the Company’s gold lease income and the realizability of its gold-denominated receivable. The Company recognized no gold lease income during the three or six months ended June 30, 2025.</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72" w:name="xdx_848_ecustom--PrepaidExpensesAndOther"/>
      <w:bookmarkEnd w:id="372"/>
      <w:r>
        <w:rPr>
          <w:rFonts w:ascii="Times New Roman;Times;Serif" w:hAnsi="Times New Roman;Times;Serif"/>
          <w:b w:val="false"/>
          <w:i/>
          <w:caps w:val="false"/>
          <w:smallCaps w:val="false"/>
          <w:sz w:val="20"/>
        </w:rPr>
        <w:t>Prepaid Expenses and Other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73" w:name="xdx_899_eus-gaap--DeferredCostsCapitaliz"/>
      <w:bookmarkEnd w:id="373"/>
      <w:r>
        <w:rPr>
          <w:rFonts w:ascii="Times New Roman;Times;Serif" w:hAnsi="Times New Roman;Times;Serif"/>
          <w:b w:val="false"/>
          <w:i w:val="false"/>
          <w:caps w:val="false"/>
          <w:smallCaps w:val="false"/>
          <w:sz w:val="20"/>
        </w:rPr>
        <w:t>Prepaid expenses and other assets consisted of the following as of June 30, 2026 and December 31, 2025:</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74" w:name="xdx_8BD_zntUulIwKqc6"/>
      <w:bookmarkEnd w:id="374"/>
      <w:r>
        <w:rPr>
          <w:rFonts w:ascii="Times New Roman;Times;Serif" w:hAnsi="Times New Roman;Times;Serif"/>
          <w:b w:val="false"/>
          <w:i w:val="false"/>
          <w:caps w:val="false"/>
          <w:smallCaps w:val="false"/>
          <w:sz w:val="20"/>
        </w:rPr>
        <w:t>SCHEDULE OF PREPAID EXPENSES AND OTHER ASSETS </w:t>
      </w:r>
    </w:p>
    <w:tbl>
      <w:tblPr>
        <w:tblW w:w="7064" w:type="dxa"/>
        <w:jc w:val="left"/>
        <w:tblInd w:w="0" w:type="dxa"/>
        <w:tblLayout w:type="fixed"/>
        <w:tblCellMar>
          <w:top w:w="0" w:type="dxa"/>
          <w:left w:w="0" w:type="dxa"/>
          <w:bottom w:w="0" w:type="dxa"/>
          <w:right w:w="0" w:type="dxa"/>
        </w:tblCellMar>
      </w:tblPr>
      <w:tblGrid>
        <w:gridCol w:w="4520"/>
        <w:gridCol w:w="60"/>
        <w:gridCol w:w="175"/>
        <w:gridCol w:w="700"/>
        <w:gridCol w:w="60"/>
        <w:gridCol w:w="60"/>
        <w:gridCol w:w="241"/>
        <w:gridCol w:w="1173"/>
        <w:gridCol w:w="7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5" w:name="xdx_49A_20260630_zo35q544RR05"/>
            <w:bookmarkEnd w:id="375"/>
          </w:p>
        </w:tc>
        <w:tc>
          <w:tcPr>
            <w:tcW w:w="8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6" w:name="xdx_496_20251231_zao5weAexmji"/>
            <w:bookmarkEnd w:id="376"/>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377" w:name="xdx_400_ecustom--PrepaidExpensesCommonSt"/>
            <w:bookmarkEnd w:id="377"/>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issued for services</w:t>
            </w:r>
            <w:bookmarkStart w:id="378" w:name="xdx_F45_zyBSr6Lo7hek"/>
            <w:bookmarkEnd w:id="378"/>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14,985</w:t>
            </w:r>
          </w:p>
        </w:tc>
        <w:tc>
          <w:tcPr>
            <w:tcW w:w="75" w:type="dxa"/>
            <w:tcBorders/>
            <w:shd w:fill="CCEEFF" w:val="clear"/>
            <w:vAlign w:val="center"/>
          </w:tcPr>
          <w:p>
            <w:pPr>
              <w:pStyle w:val="TableContents"/>
              <w:bidi w:val="0"/>
              <w:spacing w:before="0" w:after="283"/>
              <w:jc w:val="left"/>
              <w:rPr/>
            </w:pPr>
            <w:r>
              <w:rPr/>
              <w:t> </w:t>
            </w:r>
            <w:bookmarkStart w:id="379" w:name="xdx_40E_ecustom--PrepaidAdvisoryAndCapit"/>
            <w:bookmarkEnd w:id="379"/>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Advisory and capital markets consulting services</w:t>
            </w:r>
            <w:bookmarkStart w:id="380" w:name="xdx_F45_zwSEwWzhmH66"/>
            <w:bookmarkEnd w:id="380"/>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381" w:name="xdx_40F_eus-gaap--PrepaidInsurance_iI_pn"/>
            <w:bookmarkEnd w:id="381"/>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w:t>
            </w:r>
          </w:p>
        </w:tc>
        <w:tc>
          <w:tcPr>
            <w:tcW w:w="75" w:type="dxa"/>
            <w:tcBorders/>
            <w:shd w:fill="CCEEFF" w:val="clear"/>
            <w:vAlign w:val="center"/>
          </w:tcPr>
          <w:p>
            <w:pPr>
              <w:pStyle w:val="TableContents"/>
              <w:bidi w:val="0"/>
              <w:spacing w:before="0" w:after="283"/>
              <w:jc w:val="left"/>
              <w:rPr/>
            </w:pPr>
            <w:r>
              <w:rPr/>
              <w:t> </w:t>
            </w:r>
            <w:bookmarkStart w:id="382" w:name="xdx_402_eus-gaap--PrepaidAdvertising_iI_"/>
            <w:bookmarkEnd w:id="382"/>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w:t>
            </w:r>
          </w:p>
        </w:tc>
        <w:tc>
          <w:tcPr>
            <w:tcW w:w="75" w:type="dxa"/>
            <w:tcBorders/>
            <w:shd w:fill="FFFFFF" w:val="clear"/>
            <w:vAlign w:val="center"/>
          </w:tcPr>
          <w:p>
            <w:pPr>
              <w:pStyle w:val="TableContents"/>
              <w:bidi w:val="0"/>
              <w:spacing w:before="0" w:after="283"/>
              <w:jc w:val="left"/>
              <w:rPr/>
            </w:pPr>
            <w:r>
              <w:rPr/>
              <w:t> </w:t>
            </w:r>
            <w:bookmarkStart w:id="383" w:name="xdx_400_eus-gaap--OtherPrepaidExpenseCur"/>
            <w:bookmarkEnd w:id="383"/>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75" w:type="dxa"/>
            <w:tcBorders/>
            <w:shd w:fill="CCEEFF" w:val="clear"/>
            <w:vAlign w:val="center"/>
          </w:tcPr>
          <w:p>
            <w:pPr>
              <w:pStyle w:val="TableContents"/>
              <w:bidi w:val="0"/>
              <w:spacing w:before="0" w:after="283"/>
              <w:jc w:val="left"/>
              <w:rPr/>
            </w:pPr>
            <w:r>
              <w:rPr/>
              <w:t> </w:t>
            </w:r>
            <w:bookmarkStart w:id="384" w:name="xdx_402_eus-gaap--PrepaidExpenseAndOther"/>
            <w:bookmarkEnd w:id="384"/>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17,401</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85" w:name="xdx_F07_zJAWTRai23xb"/>
            <w:bookmarkEnd w:id="385"/>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86" w:name="xdx_F11_zcGrHiZ1Zih1"/>
            <w:bookmarkEnd w:id="386"/>
            <w:r>
              <w:rPr>
                <w:rFonts w:ascii="Times New Roman;Times;Serif" w:hAnsi="Times New Roman;Times;Serif"/>
                <w:b w:val="false"/>
                <w:i w:val="false"/>
                <w:caps w:val="false"/>
                <w:smallCaps w:val="false"/>
                <w:sz w:val="20"/>
              </w:rPr>
              <w:t xml:space="preserve">In December 2025, the Company issued an aggregate of </w:t>
            </w:r>
            <w:bookmarkStart w:id="387" w:name="xdx_909_eus-gaap--StockIssuedDuringPerio"/>
            <w:bookmarkEnd w:id="387"/>
            <w:r>
              <w:rPr>
                <w:rFonts w:ascii="Times New Roman;Times;Serif" w:hAnsi="Times New Roman;Times;Serif"/>
                <w:b w:val="false"/>
                <w:i w:val="false"/>
                <w:caps w:val="false"/>
                <w:smallCaps w:val="false"/>
                <w:sz w:val="20"/>
              </w:rPr>
              <w:t>3,538,762 shares of its common stock to two third-party consultants in exchange for services to be provided over a one-year contractual term. The aggregate grant-date fair value of the common stock issued was $</w:t>
            </w:r>
            <w:bookmarkStart w:id="388" w:name="xdx_901_eus-gaap--StockIssuedDuringPerio"/>
            <w:bookmarkEnd w:id="388"/>
            <w:r>
              <w:rPr>
                <w:rFonts w:ascii="Times New Roman;Times;Serif" w:hAnsi="Times New Roman;Times;Serif"/>
                <w:b w:val="false"/>
                <w:i w:val="false"/>
                <w:caps w:val="false"/>
                <w:smallCaps w:val="false"/>
                <w:sz w:val="20"/>
              </w:rPr>
              <w:t>15,854. The Company recognized stock-based compensation expense of $</w:t>
            </w:r>
            <w:bookmarkStart w:id="389" w:name="xdx_905_eus-gaap--AllocatedShareBasedCom"/>
            <w:bookmarkEnd w:id="389"/>
            <w:r>
              <w:rPr>
                <w:rFonts w:ascii="Times New Roman;Times;Serif" w:hAnsi="Times New Roman;Times;Serif"/>
                <w:b w:val="false"/>
                <w:i w:val="false"/>
                <w:caps w:val="false"/>
                <w:smallCaps w:val="false"/>
                <w:sz w:val="20"/>
              </w:rPr>
              <w:t>3,953 and $</w:t>
            </w:r>
            <w:bookmarkStart w:id="390" w:name="xdx_90C_eus-gaap--AllocatedShareBasedCom"/>
            <w:bookmarkEnd w:id="390"/>
            <w:r>
              <w:rPr>
                <w:rFonts w:ascii="Times New Roman;Times;Serif" w:hAnsi="Times New Roman;Times;Serif"/>
                <w:b w:val="false"/>
                <w:i w:val="false"/>
                <w:caps w:val="false"/>
                <w:smallCaps w:val="false"/>
                <w:sz w:val="20"/>
              </w:rPr>
              <w:t>7,862 during the three and six months ended June 30, 2026, respectively.</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91" w:name="xdx_F05_zsCFZXncdunb"/>
            <w:bookmarkEnd w:id="391"/>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92" w:name="xdx_F1F_zAz5mgqTx6dd"/>
            <w:bookmarkEnd w:id="392"/>
            <w:r>
              <w:rPr>
                <w:rFonts w:ascii="Times New Roman;Times;Serif" w:hAnsi="Times New Roman;Times;Serif"/>
                <w:b w:val="false"/>
                <w:i w:val="false"/>
                <w:caps w:val="false"/>
                <w:smallCaps w:val="false"/>
                <w:sz w:val="20"/>
              </w:rPr>
              <w:t xml:space="preserve">See Note 19 — Commitments and Contingencies for information regarding the Company’s GLDY token consulting agreement, the unamortized portion of which is included in advisory and capital markets consulting services above. </w:t>
            </w:r>
          </w:p>
        </w:tc>
      </w:tr>
    </w:tbl>
    <w:p>
      <w:pPr>
        <w:pStyle w:val="TextBody"/>
        <w:pBdr/>
        <w:bidi w:val="0"/>
        <w:spacing w:before="0" w:after="0"/>
        <w:ind w:left="0" w:right="0" w:hanging="0"/>
        <w:jc w:val="both"/>
        <w:rPr>
          <w:caps w:val="false"/>
          <w:smallCaps w:val="false"/>
        </w:rPr>
      </w:pPr>
      <w:bookmarkStart w:id="393" w:name="xdx_8A6_zyeCDog0QTXi"/>
      <w:bookmarkEnd w:id="393"/>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394" w:name="xdx_840_eus-gaap--EarningsPerSharePolicy"/>
      <w:bookmarkEnd w:id="394"/>
      <w:r>
        <w:rPr>
          <w:rFonts w:ascii="Times New Roman;Times;Serif" w:hAnsi="Times New Roman;Times;Serif"/>
          <w:b w:val="false"/>
          <w:i/>
          <w:caps w:val="false"/>
          <w:smallCaps w:val="false"/>
          <w:sz w:val="20"/>
        </w:rPr>
        <w:t>Net Income (Loss) Per Common Share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(loss) per share in accordance with ASC 260, Earnings Per Share. Basic earnings (loss) per common share is computed by dividing net income (loss) attributable to Streamex Corp.’s common stockholders, after deduction of dividends on the Company’s cumulative convertible preferred stock, whether or not declared, by the weighted-average number of common shares outstanding during the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Exchangeable Shares issued by a consolidated subsidiary in connection with the acquisition of Streamex Exchange are exchangeable on a one-for-one basis for shares of the Company’s common stock and participate in earnings and dividends on an equivalent basis with the Company’s common stock. Before November 4, 2025, the Exchangeable Shares were subject to stockholder approval and applicable exchange limitations under Nasdaq listing rules and therefore were not included as common shares outstanding in basic earnings (loss) per common share. Upon stockholder approval on November 4, 2025, the exchange limitations were removed, the Exchangeable Shares were reclassified to permanent equity, and the Exchangeable Shares became eligible for inclusion in basic earnings (loss) per common share on a weighted-average basis beginning on that date. Accordingly, the Exchangeable Shares were not included in basic earnings (loss) per common share for the three or six months ended June 30, 2025. See Note 5 — Business Acquisition and Note 16 — Stockholders’ Equity.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(loss) per common share gives effect to potentially dilutive securities using the treasury stock method or if-converted method, as applicable. Contingently issuable shares are included only when the applicable conditions have been satisfied as of the end of the reporting period. In periods of net loss, basic and diluted loss per common share are the same because the effect of potential common shares would be antidilutive.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95" w:name="xdx_891_eus-gaap--ScheduleOfAntidilutive"/>
      <w:bookmarkEnd w:id="395"/>
      <w:r>
        <w:rPr>
          <w:rFonts w:ascii="Times New Roman;Times;Serif" w:hAnsi="Times New Roman;Times;Serif"/>
          <w:b w:val="false"/>
          <w:i w:val="false"/>
          <w:caps w:val="false"/>
          <w:smallCaps w:val="false"/>
          <w:sz w:val="20"/>
        </w:rPr>
        <w:t>Potential common shares excluded from the computation of diluted net loss per common share because their effect would have been antidilutive or because the applicable issuance conditions had not been satisfied were as follows:</w:t>
      </w:r>
    </w:p>
    <w:p>
      <w:pPr>
        <w:pStyle w:val="TextBody"/>
        <w:pBdr/>
        <w:bidi w:val="0"/>
        <w:spacing w:before="0" w:after="0"/>
        <w:ind w:left="0" w:right="0" w:hanging="0"/>
        <w:jc w:val="both"/>
        <w:rPr>
          <w:caps w:val="false"/>
          <w:smallCaps w:val="false"/>
        </w:rPr>
      </w:pPr>
      <w:r>
        <w:rPr>
          <w:caps w:val="false"/>
          <w:smallCaps w:val="false"/>
        </w:rPr>
        <w:t>  </w:t>
      </w:r>
      <w:bookmarkStart w:id="396" w:name="xdx_8BF_z52ZDGPogiug"/>
      <w:bookmarkEnd w:id="396"/>
      <w:r>
        <w:rPr>
          <w:rFonts w:ascii="Times New Roman;Times;Serif" w:hAnsi="Times New Roman;Times;Serif"/>
          <w:b w:val="false"/>
          <w:i w:val="false"/>
          <w:caps w:val="false"/>
          <w:smallCaps w:val="false"/>
          <w:sz w:val="20"/>
        </w:rPr>
        <w:t>SCHEDULE OF ANTI-DILUTIVE SECURITIES EXCLUDED FROM COMPUTATION OF EARNINGS PER SHARE</w:t>
      </w:r>
    </w:p>
    <w:tbl>
      <w:tblPr>
        <w:tblW w:w="7755" w:type="dxa"/>
        <w:jc w:val="left"/>
        <w:tblInd w:w="0" w:type="dxa"/>
        <w:tblLayout w:type="fixed"/>
        <w:tblCellMar>
          <w:top w:w="0" w:type="dxa"/>
          <w:left w:w="0" w:type="dxa"/>
          <w:bottom w:w="0" w:type="dxa"/>
          <w:right w:w="0" w:type="dxa"/>
        </w:tblCellMar>
      </w:tblPr>
      <w:tblGrid>
        <w:gridCol w:w="5060"/>
        <w:gridCol w:w="60"/>
        <w:gridCol w:w="60"/>
        <w:gridCol w:w="1100"/>
        <w:gridCol w:w="60"/>
        <w:gridCol w:w="60"/>
        <w:gridCol w:w="60"/>
        <w:gridCol w:w="1220"/>
        <w:gridCol w:w="75"/>
      </w:tblGrid>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7" w:name="xdx_494_20260101__20260630_zcEmqOElz28j"/>
            <w:bookmarkEnd w:id="397"/>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8" w:name="xdx_492_20250101__20250630_ztU2Vf1Dlf63"/>
            <w:bookmarkEnd w:id="398"/>
          </w:p>
        </w:tc>
        <w:tc>
          <w:tcPr>
            <w:tcW w:w="128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399" w:name="xdx_402_eus-gaap--AntidilutiveSecurities"/>
            <w:bookmarkEnd w:id="399"/>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344,763</w:t>
            </w:r>
          </w:p>
        </w:tc>
        <w:tc>
          <w:tcPr>
            <w:tcW w:w="75" w:type="dxa"/>
            <w:tcBorders/>
            <w:shd w:fill="CCEEFF" w:val="clear"/>
            <w:vAlign w:val="center"/>
          </w:tcPr>
          <w:p>
            <w:pPr>
              <w:pStyle w:val="TableContents"/>
              <w:bidi w:val="0"/>
              <w:spacing w:before="0" w:after="283"/>
              <w:jc w:val="left"/>
              <w:rPr/>
            </w:pPr>
            <w:r>
              <w:rPr/>
              <w:t> </w:t>
            </w:r>
            <w:bookmarkStart w:id="400" w:name="xdx_407_eus-gaap--AntidilutiveSecurities"/>
            <w:bookmarkEnd w:id="400"/>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to purchase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2,736,000</w:t>
            </w:r>
          </w:p>
        </w:tc>
        <w:tc>
          <w:tcPr>
            <w:tcW w:w="75" w:type="dxa"/>
            <w:tcBorders/>
            <w:shd w:fill="FFFFFF" w:val="clear"/>
            <w:vAlign w:val="center"/>
          </w:tcPr>
          <w:p>
            <w:pPr>
              <w:pStyle w:val="TableContents"/>
              <w:bidi w:val="0"/>
              <w:spacing w:before="0" w:after="283"/>
              <w:jc w:val="left"/>
              <w:rPr/>
            </w:pPr>
            <w:r>
              <w:rPr/>
              <w:t> </w:t>
            </w:r>
            <w:bookmarkStart w:id="401" w:name="xdx_40D_eus-gaap--AntidilutiveSecurities"/>
            <w:bookmarkEnd w:id="401"/>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Performance-based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402" w:name="xdx_40F_eus-gaap--AntidilutiveSecurities"/>
            <w:bookmarkEnd w:id="402"/>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to purchase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1,647,885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3,564,982</w:t>
            </w:r>
          </w:p>
        </w:tc>
        <w:tc>
          <w:tcPr>
            <w:tcW w:w="75" w:type="dxa"/>
            <w:tcBorders/>
            <w:shd w:fill="FFFFFF" w:val="clear"/>
            <w:vAlign w:val="center"/>
          </w:tcPr>
          <w:p>
            <w:pPr>
              <w:pStyle w:val="TableContents"/>
              <w:bidi w:val="0"/>
              <w:spacing w:before="0" w:after="283"/>
              <w:jc w:val="left"/>
              <w:rPr/>
            </w:pPr>
            <w:r>
              <w:rPr/>
              <w:t> </w:t>
            </w:r>
            <w:bookmarkStart w:id="403" w:name="xdx_40C_eus-gaap--AntidilutiveSecurities"/>
            <w:bookmarkEnd w:id="403"/>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 units to acquire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5,889,270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1,004,163</w:t>
            </w:r>
          </w:p>
        </w:tc>
        <w:tc>
          <w:tcPr>
            <w:tcW w:w="75" w:type="dxa"/>
            <w:tcBorders/>
            <w:shd w:fill="CCEEFF" w:val="clear"/>
            <w:vAlign w:val="center"/>
          </w:tcPr>
          <w:p>
            <w:pPr>
              <w:pStyle w:val="TableContents"/>
              <w:bidi w:val="0"/>
              <w:spacing w:before="0" w:after="283"/>
              <w:jc w:val="left"/>
              <w:rPr/>
            </w:pPr>
            <w:r>
              <w:rPr/>
              <w:t> </w:t>
            </w:r>
            <w:bookmarkStart w:id="404" w:name="xdx_404_eus-gaap--AntidilutiveSecurities"/>
            <w:bookmarkEnd w:id="404"/>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Exchangeable Shares subject to stockholder approval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109,070,079</w:t>
            </w:r>
          </w:p>
        </w:tc>
        <w:tc>
          <w:tcPr>
            <w:tcW w:w="75" w:type="dxa"/>
            <w:tcBorders/>
            <w:shd w:fill="FFFFFF" w:val="clear"/>
            <w:vAlign w:val="center"/>
          </w:tcPr>
          <w:p>
            <w:pPr>
              <w:pStyle w:val="TableContents"/>
              <w:bidi w:val="0"/>
              <w:spacing w:before="0" w:after="283"/>
              <w:jc w:val="left"/>
              <w:rPr/>
            </w:pPr>
            <w:r>
              <w:rPr/>
              <w:t> </w:t>
            </w:r>
            <w:bookmarkStart w:id="405" w:name="xdx_40E_eus-gaap--AntidilutiveSecurities"/>
            <w:bookmarkEnd w:id="405"/>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15,359,880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116,719,987</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06" w:name="xdx_8AF_z8HooyWhvjOk"/>
      <w:bookmarkEnd w:id="406"/>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Exchangeable Shares outstanding as of June 30, 2025 were excluded because the issuance of the Company’s common stock upon exchange remained subject to stockholder approval and applicable exchange limitations. Stockholder approval was obtained on November 4, 2025, after which the Exchangeable Shares became eligible for inclusion in basic earnings (loss) per common share on a weighted-average basis. See Note 5 — Business Acquisition.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407" w:name="xdx_84B_ecustom--RecentlyAdoptedAccounti"/>
      <w:bookmarkEnd w:id="407"/>
      <w:r>
        <w:rPr>
          <w:rFonts w:ascii="Times New Roman;Times;Serif" w:hAnsi="Times New Roman;Times;Serif"/>
          <w:b w:val="false"/>
          <w:i/>
          <w:caps w:val="false"/>
          <w:smallCaps w:val="false"/>
          <w:sz w:val="20"/>
        </w:rPr>
        <w:t>Recently adopted accounting pronouncements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This standard provides all entities with a practical expedient to assume that current conditions as of the balance sheet date do not change for the remaining life of the current accounts receivable and current contract assets. ASU 2025-05 is effective for fiscal years beginning after December 15, 2025 and interim periods within those fiscal years, with early adoption permitted. The Company adopted ASU 2025-05 in 2026 and the adoption had no material impact on our unaudited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408" w:name="xdx_84C_eus-gaap--NewAccountingPronounce"/>
      <w:bookmarkEnd w:id="408"/>
      <w:r>
        <w:rPr>
          <w:rFonts w:ascii="Times New Roman;Times;Serif" w:hAnsi="Times New Roman;Times;Serif"/>
          <w:b w:val="false"/>
          <w:i/>
          <w:caps w:val="false"/>
          <w:smallCaps w:val="false"/>
          <w:sz w:val="20"/>
        </w:rPr>
        <w:t>Recently issued accounting pronouncements not yet adopted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xml:space="preserve"> (“ASU 2024-03”). ASU 2024-03 requires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and disclosures about selling expenses. As amended by ASU 2025-01, ASU 2024-03 is effective for annual reporting periods beginning after December 15, 2026, and interim reporting periods within annual reporting periods beginning after December 15, 2027. The Company has not early adopted ASU 2024-03 and is currently evaluating its effect on the Company’s unaudited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FASB issued ASU No.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which provides clarifying guidance on determining the accounting acquirer in certain transactions involving VIEs. The update aims to improve consistency and comparability in financial reporting. The guidance will be effective for annual periods beginning after December 15, 2026, including interim periods within those annual periods. Early adoption is permitted. Upon adoption, the guidance will be applied prospectively. The Company is currently evaluating the provisions of the amendments and the impact on its future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Targeted Improvements to the Accounting for Internal-Use Software, to modernize the accounting guidance for internal-use software costs. The standard removes all references to software development project stages and instead requires capitalization when (i) management has authorized and committed to funding the software project and (ii) it is probable that the project will be completed and the software will be used to perform the function intended. ASU 2025-06 is effective for fiscal years beginning after December 15, 2027 and interim periods within those fiscal years, with early adoption permitted. The Company is currently evaluating the impact of adopting ASU 2025-06.</w:t>
      </w:r>
    </w:p>
    <w:p>
      <w:pPr>
        <w:pStyle w:val="TextBody"/>
        <w:pBdr/>
        <w:bidi w:val="0"/>
        <w:spacing w:before="0" w:after="0"/>
        <w:ind w:left="0" w:right="0" w:hanging="0"/>
        <w:jc w:val="both"/>
        <w:rPr>
          <w:caps w:val="false"/>
          <w:smallCaps w:val="false"/>
        </w:rPr>
      </w:pPr>
      <w:bookmarkStart w:id="409" w:name="xdx_850_zeB2LHWllFci"/>
      <w:bookmarkEnd w:id="409"/>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10" w:name="xdx_802_ecustom--GoldLeaseIncomeDisclosu"/>
      <w:bookmarkEnd w:id="410"/>
      <w:r>
        <w:rPr>
          <w:rFonts w:ascii="Times New Roman;Times;Serif" w:hAnsi="Times New Roman;Times;Serif"/>
          <w:b/>
          <w:i w:val="false"/>
          <w:caps w:val="false"/>
          <w:smallCaps w:val="false"/>
          <w:sz w:val="20"/>
        </w:rPr>
        <w:t xml:space="preserve">NOTE 4 – </w:t>
      </w:r>
      <w:bookmarkStart w:id="411" w:name="xdx_828_zq2a7kJUnHg9"/>
      <w:bookmarkEnd w:id="411"/>
      <w:r>
        <w:rPr>
          <w:rFonts w:ascii="Times New Roman;Times;Serif" w:hAnsi="Times New Roman;Times;Serif"/>
          <w:b/>
          <w:i w:val="false"/>
          <w:caps w:val="false"/>
          <w:smallCaps w:val="false"/>
          <w:sz w:val="20"/>
        </w:rPr>
        <w:t xml:space="preserve">GOLD LEASE INCOME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gold lease income on gold made available to a third-party leasing program. Because the arrangement represents the deployment of the Company’s gold for a stated in-kind return rather than a contract with a customer, the income is not within the scope of ASC 606; it is recognized over the term of each accepted lease using an effective-yield method. Yield is earned in ounces and accrues daily on a simple, non-compounding basis at the contractual annual lease rate applied to the ounces on lease, with settlement in kind on a monthly cycle. Ounces earned each day are translated into U.S. dollars at that day's LBMA Gold Price PM (USD) fix, which affects only the U.S. dollar measurement of those ounces and not the rate at which yield accrues. The Company recognizes income only while recovery of the in-kind consideration on an accepted lease is considered probable.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lease income comprises two gold-denominated components earned on the same gold made available to the leasing program: an in-kind lease yield earned on gold deployed into accepted leases, and a contractual revenue share representing a tiered percentage of gold under management that is payable by the program agent and settled in gold. The program agent is engaged to source and manage leases on the Company's behalf rather than to obtain an output of the Company's ordinary activities and is therefore not a customer; both components are accordingly recognized as gold lease income on the effective-yield basis described above and are measured on the same daily basis. </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12" w:name="xdx_89C_ecustom--ScheduleOfGoldLeaseInco"/>
      <w:bookmarkEnd w:id="412"/>
      <w:r>
        <w:rPr>
          <w:rFonts w:ascii="Times New Roman;Times;Serif" w:hAnsi="Times New Roman;Times;Serif"/>
          <w:b w:val="false"/>
          <w:i w:val="false"/>
          <w:caps w:val="false"/>
          <w:smallCaps w:val="false"/>
          <w:sz w:val="20"/>
        </w:rPr>
        <w:t>The following table disaggregates gold lease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13" w:name="xdx_8B9_zXHxirrw6f66"/>
      <w:bookmarkEnd w:id="413"/>
      <w:r>
        <w:rPr>
          <w:rFonts w:ascii="Times New Roman;Times;Serif" w:hAnsi="Times New Roman;Times;Serif"/>
          <w:b w:val="false"/>
          <w:i w:val="false"/>
          <w:caps w:val="false"/>
          <w:smallCaps w:val="false"/>
          <w:sz w:val="20"/>
        </w:rPr>
        <w:t>SCHEDULE OF DISAGGREGATES GOLD LEASE INCOME</w:t>
      </w:r>
    </w:p>
    <w:tbl>
      <w:tblPr>
        <w:tblW w:w="6868" w:type="dxa"/>
        <w:jc w:val="left"/>
        <w:tblInd w:w="0" w:type="dxa"/>
        <w:tblLayout w:type="fixed"/>
        <w:tblCellMar>
          <w:top w:w="0" w:type="dxa"/>
          <w:left w:w="0" w:type="dxa"/>
          <w:bottom w:w="0" w:type="dxa"/>
          <w:right w:w="0" w:type="dxa"/>
        </w:tblCellMar>
      </w:tblPr>
      <w:tblGrid>
        <w:gridCol w:w="2495"/>
        <w:gridCol w:w="60"/>
        <w:gridCol w:w="593"/>
        <w:gridCol w:w="1616"/>
        <w:gridCol w:w="60"/>
        <w:gridCol w:w="60"/>
        <w:gridCol w:w="513"/>
        <w:gridCol w:w="1396"/>
        <w:gridCol w:w="7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4" w:name="xdx_49B_20260401__20260630_zbLfDetn2t47"/>
            <w:bookmarkEnd w:id="414"/>
          </w:p>
        </w:tc>
        <w:tc>
          <w:tcPr>
            <w:tcW w:w="22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5" w:name="xdx_497_20260101__20260630_zqTf3uIcAwL4"/>
            <w:bookmarkEnd w:id="415"/>
          </w:p>
        </w:tc>
        <w:tc>
          <w:tcPr>
            <w:tcW w:w="19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75" w:type="dxa"/>
            <w:tcBorders/>
            <w:vAlign w:val="center"/>
          </w:tcPr>
          <w:p>
            <w:pPr>
              <w:pStyle w:val="TableContents"/>
              <w:bidi w:val="0"/>
              <w:spacing w:before="0" w:after="283"/>
              <w:jc w:val="left"/>
              <w:rPr/>
            </w:pPr>
            <w:r>
              <w:rPr/>
              <w:t> </w:t>
            </w:r>
            <w:bookmarkStart w:id="416" w:name="xdx_401_ecustom--GoldLeaseIncomeInKindLe"/>
            <w:bookmarkEnd w:id="416"/>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In-kind lease yield</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75" w:type="dxa"/>
            <w:tcBorders/>
            <w:shd w:fill="CCEEFF" w:val="clear"/>
            <w:vAlign w:val="center"/>
          </w:tcPr>
          <w:p>
            <w:pPr>
              <w:pStyle w:val="TableContents"/>
              <w:bidi w:val="0"/>
              <w:spacing w:before="0" w:after="283"/>
              <w:jc w:val="left"/>
              <w:rPr/>
            </w:pPr>
            <w:r>
              <w:rPr/>
              <w:t> </w:t>
            </w:r>
            <w:bookmarkStart w:id="417" w:name="xdx_40D_ecustom--GoldLeaseIncomeContract"/>
            <w:bookmarkEnd w:id="417"/>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revenue share</w:t>
            </w:r>
          </w:p>
        </w:tc>
        <w:tc>
          <w:tcPr>
            <w:tcW w:w="60" w:type="dxa"/>
            <w:tcBorders/>
            <w:shd w:fill="FFFFFF" w:val="clear"/>
            <w:vAlign w:val="center"/>
          </w:tcPr>
          <w:p>
            <w:pPr>
              <w:pStyle w:val="TableContents"/>
              <w:bidi w:val="0"/>
              <w:spacing w:before="0" w:after="283"/>
              <w:jc w:val="left"/>
              <w:rPr/>
            </w:pPr>
            <w:r>
              <w:rPr/>
              <w:t> </w:t>
            </w:r>
          </w:p>
        </w:tc>
        <w:tc>
          <w:tcPr>
            <w:tcW w:w="5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75" w:type="dxa"/>
            <w:tcBorders/>
            <w:shd w:fill="FFFFFF" w:val="clear"/>
            <w:vAlign w:val="center"/>
          </w:tcPr>
          <w:p>
            <w:pPr>
              <w:pStyle w:val="TableContents"/>
              <w:bidi w:val="0"/>
              <w:spacing w:before="0" w:after="283"/>
              <w:jc w:val="left"/>
              <w:rPr/>
            </w:pPr>
            <w:r>
              <w:rPr/>
              <w:t> </w:t>
            </w:r>
            <w:bookmarkStart w:id="418" w:name="xdx_40F_eus-gaap--RevenueFromContractWit"/>
            <w:bookmarkEnd w:id="418"/>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gold lease income</w:t>
            </w:r>
          </w:p>
        </w:tc>
        <w:tc>
          <w:tcPr>
            <w:tcW w:w="60" w:type="dxa"/>
            <w:tcBorders/>
            <w:shd w:fill="CCEEFF" w:val="clear"/>
            <w:vAlign w:val="center"/>
          </w:tcPr>
          <w:p>
            <w:pPr>
              <w:pStyle w:val="TableContents"/>
              <w:bidi w:val="0"/>
              <w:spacing w:before="0" w:after="283"/>
              <w:jc w:val="left"/>
              <w:rPr/>
            </w:pPr>
            <w:r>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19" w:name="xdx_8A4_zlMZbaUXpVei"/>
      <w:bookmarkEnd w:id="419"/>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w:t>
      </w:r>
      <w:bookmarkStart w:id="420" w:name="xdx_901_eus-gaap--Revenues_pn3n3_c202601"/>
      <w:bookmarkEnd w:id="420"/>
      <w:r>
        <w:rPr>
          <w:rFonts w:ascii="Times New Roman;Times;Serif" w:hAnsi="Times New Roman;Times;Serif"/>
          <w:b w:val="false"/>
          <w:i w:val="false"/>
          <w:caps w:val="false"/>
          <w:smallCaps w:val="false"/>
          <w:sz w:val="20"/>
        </w:rPr>
        <w:t>12 of gold lease income earned in the first quarter of 2026 comprising $</w:t>
      </w:r>
      <w:bookmarkStart w:id="421" w:name="xdx_90F_ecustom--GoldLeaseIncomeInKindLe"/>
      <w:bookmarkEnd w:id="421"/>
      <w:r>
        <w:rPr>
          <w:rFonts w:ascii="Times New Roman;Times;Serif" w:hAnsi="Times New Roman;Times;Serif"/>
          <w:b w:val="false"/>
          <w:i w:val="false"/>
          <w:caps w:val="false"/>
          <w:smallCaps w:val="false"/>
          <w:sz w:val="20"/>
        </w:rPr>
        <w:t>11 of in-kind lease yield and $</w:t>
      </w:r>
      <w:bookmarkStart w:id="422" w:name="xdx_906_ecustom--GoldLeaseIncomeContract"/>
      <w:bookmarkEnd w:id="422"/>
      <w:r>
        <w:rPr>
          <w:rFonts w:ascii="Times New Roman;Times;Serif" w:hAnsi="Times New Roman;Times;Serif"/>
          <w:b w:val="false"/>
          <w:i w:val="false"/>
          <w:caps w:val="false"/>
          <w:smallCaps w:val="false"/>
          <w:sz w:val="20"/>
        </w:rPr>
        <w:t>1 of contractual revenue share was not recognized in the previously issued interim financial statements for that period and was recognized in the current period. As a result, the three-month and six-month amounts are the same. No gold lease income was recognized during the three and six months ended June 30,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23" w:name="xdx_89D_eus-gaap--ScheduleOfReceivablesW"/>
      <w:bookmarkEnd w:id="423"/>
      <w:r>
        <w:rPr>
          <w:rFonts w:ascii="Times New Roman;Times;Serif" w:hAnsi="Times New Roman;Times;Serif"/>
          <w:b w:val="false"/>
          <w:i w:val="false"/>
          <w:caps w:val="false"/>
          <w:smallCaps w:val="false"/>
          <w:sz w:val="20"/>
        </w:rPr>
        <w:t>The following table presents the gold-denominated receivable for accrued but unsettled gold lease income: </w:t>
      </w:r>
    </w:p>
    <w:p>
      <w:pPr>
        <w:pStyle w:val="TextBody"/>
        <w:bidi w:val="0"/>
        <w:spacing w:lineRule="auto" w:line="276" w:before="0" w:after="160"/>
        <w:jc w:val="left"/>
        <w:rPr>
          <w:caps w:val="false"/>
          <w:smallCaps w:val="false"/>
        </w:rPr>
      </w:pPr>
      <w:r>
        <w:rPr>
          <w:caps w:val="false"/>
          <w:smallCaps w:val="false"/>
        </w:rPr>
        <w:t> </w:t>
      </w:r>
    </w:p>
    <w:p>
      <w:pPr>
        <w:pStyle w:val="TextBody"/>
        <w:bidi w:val="0"/>
        <w:spacing w:lineRule="auto" w:line="276" w:before="0" w:after="160"/>
        <w:jc w:val="left"/>
        <w:rPr>
          <w:rFonts w:ascii="Times New Roman;Times;Serif" w:hAnsi="Times New Roman;Times;Serif"/>
          <w:b w:val="false"/>
          <w:i w:val="false"/>
          <w:caps w:val="false"/>
          <w:smallCaps w:val="false"/>
          <w:sz w:val="20"/>
        </w:rPr>
      </w:pPr>
      <w:bookmarkStart w:id="424" w:name="xdx_8B3_zQ6SZpGjJTx7"/>
      <w:bookmarkEnd w:id="424"/>
      <w:r>
        <w:rPr>
          <w:rFonts w:ascii="Times New Roman;Times;Serif" w:hAnsi="Times New Roman;Times;Serif"/>
          <w:b w:val="false"/>
          <w:i w:val="false"/>
          <w:caps w:val="false"/>
          <w:smallCaps w:val="false"/>
          <w:sz w:val="20"/>
        </w:rPr>
        <w:t>SCHEDULE OF GOLD DENOMINATED RECEIVABLE</w:t>
      </w:r>
    </w:p>
    <w:tbl>
      <w:tblPr>
        <w:tblW w:w="6943" w:type="dxa"/>
        <w:jc w:val="left"/>
        <w:tblInd w:w="0" w:type="dxa"/>
        <w:tblLayout w:type="fixed"/>
        <w:tblCellMar>
          <w:top w:w="0" w:type="dxa"/>
          <w:left w:w="0" w:type="dxa"/>
          <w:bottom w:w="0" w:type="dxa"/>
          <w:right w:w="0" w:type="dxa"/>
        </w:tblCellMar>
      </w:tblPr>
      <w:tblGrid>
        <w:gridCol w:w="3320"/>
        <w:gridCol w:w="60"/>
        <w:gridCol w:w="494"/>
        <w:gridCol w:w="920"/>
        <w:gridCol w:w="60"/>
        <w:gridCol w:w="60"/>
        <w:gridCol w:w="1163"/>
        <w:gridCol w:w="791"/>
        <w:gridCol w:w="75"/>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5" w:name="xdx_498_20260630_zV2h3b6gpZBh"/>
            <w:bookmarkEnd w:id="425"/>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6" w:name="xdx_49B_20251231_z0Cnr7QimFAd"/>
            <w:bookmarkEnd w:id="426"/>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bookmarkStart w:id="427" w:name="xdx_409_ecustom--GoldDenominatedReceivab"/>
            <w:bookmarkEnd w:id="427"/>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in-kind lease yield</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428" w:name="xdx_403_ecustom--GoldDenominatedReceivab"/>
            <w:bookmarkEnd w:id="428"/>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contractual revenue share</w:t>
            </w:r>
          </w:p>
        </w:tc>
        <w:tc>
          <w:tcPr>
            <w:tcW w:w="60" w:type="dxa"/>
            <w:tcBorders/>
            <w:shd w:fill="FFFFFF" w:val="clear"/>
            <w:vAlign w:val="center"/>
          </w:tcPr>
          <w:p>
            <w:pPr>
              <w:pStyle w:val="TableContents"/>
              <w:bidi w:val="0"/>
              <w:spacing w:before="0" w:after="283"/>
              <w:jc w:val="left"/>
              <w:rPr/>
            </w:pPr>
            <w:r>
              <w:rPr/>
              <w:t> </w:t>
            </w:r>
          </w:p>
        </w:tc>
        <w:tc>
          <w:tcPr>
            <w:tcW w:w="4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29" w:name="xdx_406_eus-gaap--ReceivablesNetCurrent_"/>
            <w:bookmarkEnd w:id="429"/>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gold-denominated receivable</w:t>
            </w:r>
          </w:p>
        </w:tc>
        <w:tc>
          <w:tcPr>
            <w:tcW w:w="60" w:type="dxa"/>
            <w:tcBorders/>
            <w:shd w:fill="CCEEFF" w:val="clear"/>
            <w:vAlign w:val="center"/>
          </w:tcPr>
          <w:p>
            <w:pPr>
              <w:pStyle w:val="TableContents"/>
              <w:bidi w:val="0"/>
              <w:spacing w:before="0" w:after="283"/>
              <w:jc w:val="left"/>
              <w:rPr/>
            </w:pPr>
            <w:r>
              <w:rPr/>
              <w:t> </w:t>
            </w:r>
          </w:p>
        </w:tc>
        <w:tc>
          <w:tcPr>
            <w:tcW w:w="4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30" w:name="xdx_8A0_zcqfNnGoqfbc"/>
      <w:bookmarkEnd w:id="430"/>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bookmarkStart w:id="431" w:name="xdx_902_eus-gaap--ReceivablesNetCurrent_"/>
      <w:bookmarkEnd w:id="431"/>
      <w:r>
        <w:rPr>
          <w:rFonts w:ascii="Times New Roman;Times;Serif" w:hAnsi="Times New Roman;Times;Serif"/>
          <w:b w:val="false"/>
          <w:i w:val="false"/>
          <w:caps w:val="false"/>
          <w:smallCaps w:val="false"/>
          <w:sz w:val="20"/>
        </w:rPr>
        <w:t>54 gold-denominated receivable at June 30, 2026 represents gold lease income recognized during the period for which the related in-kind gold settlement had not been received as of the reporting date; the timing of settlement is governed by the applicable gold-leasing arrangements. The receivable represents a fixed quantity of ounces to be received in kind, is measured at the U.S. dollar amount recognized when those ounces were earned, and is not remeasured for changes in the price of gold. Because the Company is paid only as the leasing agent collects from the ultimate lessees, the Company assesses expected credit losses on the receivable by analogy to ASC 326-20; given the short monthly settlement cycle and the secured and insured structure of each lease, no allowance for credit losses was recognized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in-kind receipt of gold, the difference between the settlement-date fair value of the gold received and the amount previously recognized on those ounces is presented within other income (expense), net, as a loss on settlement of gold-settled revenue, and the gold received is carried at historical cost under ASC 360. The Company recognized the following:</w:t>
      </w:r>
    </w:p>
    <w:p>
      <w:pPr>
        <w:pStyle w:val="TextBody"/>
        <w:bidi w:val="0"/>
        <w:spacing w:lineRule="auto" w:line="276" w:before="0" w:after="160"/>
        <w:ind w:left="0" w:right="0" w:hanging="0"/>
        <w:jc w:val="left"/>
        <w:rPr>
          <w:rFonts w:ascii="Times New Roman;Times;Serif" w:hAnsi="Times New Roman;Times;Serif"/>
          <w:b w:val="false"/>
          <w:i w:val="false"/>
          <w:caps w:val="false"/>
          <w:smallCaps w:val="false"/>
          <w:sz w:val="20"/>
        </w:rPr>
      </w:pPr>
      <w:bookmarkStart w:id="432" w:name="xdx_8B9_ziLYQCzjdq83"/>
      <w:bookmarkStart w:id="433" w:name="xdx_89C_ecustom--ScheduleOfGoldSettledRe"/>
      <w:bookmarkEnd w:id="432"/>
      <w:bookmarkEnd w:id="433"/>
      <w:r>
        <w:rPr>
          <w:rFonts w:ascii="Times New Roman;Times;Serif" w:hAnsi="Times New Roman;Times;Serif"/>
          <w:b w:val="false"/>
          <w:i w:val="false"/>
          <w:caps w:val="false"/>
          <w:smallCaps w:val="false"/>
          <w:sz w:val="20"/>
        </w:rPr>
        <w:t>SCHEDULE OF GOLD SETTLED REVENUE AND THE GOLD RECEIVED</w:t>
      </w:r>
    </w:p>
    <w:tbl>
      <w:tblPr>
        <w:tblW w:w="8618" w:type="dxa"/>
        <w:jc w:val="left"/>
        <w:tblInd w:w="0" w:type="dxa"/>
        <w:tblLayout w:type="fixed"/>
        <w:tblCellMar>
          <w:top w:w="0" w:type="dxa"/>
          <w:left w:w="0" w:type="dxa"/>
          <w:bottom w:w="0" w:type="dxa"/>
          <w:right w:w="0" w:type="dxa"/>
        </w:tblCellMar>
      </w:tblPr>
      <w:tblGrid>
        <w:gridCol w:w="4175"/>
        <w:gridCol w:w="60"/>
        <w:gridCol w:w="870"/>
        <w:gridCol w:w="1339"/>
        <w:gridCol w:w="95"/>
        <w:gridCol w:w="60"/>
        <w:gridCol w:w="752"/>
        <w:gridCol w:w="1157"/>
        <w:gridCol w:w="11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4" w:name="xdx_499_20260401__20260630_zKMrkY26KV2a"/>
            <w:bookmarkEnd w:id="434"/>
          </w:p>
        </w:tc>
        <w:tc>
          <w:tcPr>
            <w:tcW w:w="22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5" w:name="xdx_494_20260101__20260630_zFsYWQMsoUnd"/>
            <w:bookmarkEnd w:id="435"/>
          </w:p>
        </w:tc>
        <w:tc>
          <w:tcPr>
            <w:tcW w:w="19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110" w:type="dxa"/>
            <w:tcBorders/>
            <w:vAlign w:val="center"/>
          </w:tcPr>
          <w:p>
            <w:pPr>
              <w:pStyle w:val="TableContents"/>
              <w:bidi w:val="0"/>
              <w:spacing w:before="0" w:after="283"/>
              <w:jc w:val="left"/>
              <w:rPr/>
            </w:pPr>
            <w:r>
              <w:rPr/>
              <w:t> </w:t>
            </w:r>
            <w:bookmarkStart w:id="436" w:name="xdx_406_ecustom--GoldPriceDifferentialOn"/>
            <w:bookmarkEnd w:id="436"/>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Gold-price differential on in-kind settlement</w:t>
            </w:r>
          </w:p>
        </w:tc>
        <w:tc>
          <w:tcPr>
            <w:tcW w:w="6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bookmarkStart w:id="437" w:name="xdx_8A5_zXzSSy1ti5Ye"/>
      <w:bookmarkEnd w:id="437"/>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gold lease income is earned through a single third-party leasing program administered by one counterparty, with which the Company contracts directly. The counterparty does not guarantee payment, and the Company is ultimately dependent on collection from a small number of underlying lessees; accordingly, the Company is exposed to a concentration of credit risk with respect to both the counterparty and those underlying lessees.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38" w:name="xdx_806_eus-gaap--BusinessCombinationDis"/>
      <w:bookmarkEnd w:id="438"/>
      <w:r>
        <w:rPr>
          <w:rFonts w:ascii="Times New Roman;Times;Serif" w:hAnsi="Times New Roman;Times;Serif"/>
          <w:b/>
          <w:i w:val="false"/>
          <w:caps w:val="false"/>
          <w:smallCaps w:val="false"/>
          <w:sz w:val="20"/>
        </w:rPr>
        <w:t xml:space="preserve">NOTE 5 – </w:t>
      </w:r>
      <w:bookmarkStart w:id="439" w:name="xdx_827_zOSXQNuRcr0k"/>
      <w:bookmarkEnd w:id="439"/>
      <w:r>
        <w:rPr>
          <w:rFonts w:ascii="Times New Roman;Times;Serif" w:hAnsi="Times New Roman;Times;Serif"/>
          <w:b/>
          <w:i w:val="false"/>
          <w:caps w:val="false"/>
          <w:smallCaps w:val="false"/>
          <w:sz w:val="20"/>
        </w:rPr>
        <w:t>BUSINESS ACQUISITION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Exchange Corporation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Overview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440" w:name="xdx_907_eus-gaap--BusinessAcquisitionDat"/>
      <w:bookmarkEnd w:id="440"/>
      <w:r>
        <w:rPr>
          <w:rFonts w:ascii="Times New Roman;Times;Serif" w:hAnsi="Times New Roman;Times;Serif"/>
          <w:b w:val="false"/>
          <w:i w:val="false"/>
          <w:caps w:val="false"/>
          <w:smallCaps w:val="false"/>
          <w:sz w:val="20"/>
        </w:rPr>
        <w:t>May 28, 2025, the Company completed the acquisition of Streamex Exchange, a software development company based in Vancouver, British Columbia, specializing in digital tools for commodity trading and finance.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effected pursuant to the Share Purchase Agreement dated May 23, 2025, as amended on May 27, 2025, by and among the Company, its wholly-owned subsidiaries ExchangeCo and Callco, the Streamex Exchange Shareholders, and 1540873 B.C. Ltd., as trustee under the Exchange Rights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Share Purchase Agreement, ExchangeCo acquired all of the issued and outstanding shares of Streamex Exchange (the “Purchased Shares”) in exchange for </w:t>
      </w:r>
      <w:bookmarkStart w:id="441" w:name="xdx_90D_eus-gaap--SaleOfStockNumberOfSha"/>
      <w:bookmarkEnd w:id="441"/>
      <w:r>
        <w:rPr>
          <w:rFonts w:ascii="Times New Roman;Times;Serif" w:hAnsi="Times New Roman;Times;Serif"/>
          <w:b w:val="false"/>
          <w:i w:val="false"/>
          <w:caps w:val="false"/>
          <w:smallCaps w:val="false"/>
          <w:sz w:val="20"/>
        </w:rPr>
        <w:t xml:space="preserve">109,070,079 Exchangeable Shares of ExchangeCo, based on an acquisition consideration ratio of </w:t>
      </w:r>
      <w:bookmarkStart w:id="442" w:name="xdx_906_eus-gaap--SaleOfStockPricePerSha"/>
      <w:bookmarkEnd w:id="442"/>
      <w:r>
        <w:rPr>
          <w:rFonts w:ascii="Times New Roman;Times;Serif" w:hAnsi="Times New Roman;Times;Serif"/>
          <w:b w:val="false"/>
          <w:i w:val="false"/>
          <w:caps w:val="false"/>
          <w:smallCaps w:val="false"/>
          <w:sz w:val="20"/>
        </w:rPr>
        <w:t>2.046862 Exchangeable Shares per Purchased Share. Each Exchangeable Share is separately exchangeable for one share of the Company’s common stock, subject to the adjustments and conditions described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Acquisition was to enter the digital commodity trading and blockchain-based financial infrastructure market by acquiring an established operating platform, rather than developing comparable technology internally, and to obtain the assembled workforce, intellectual property, and regulatory capabilities of Streamex Exchange. Prior to the Acquisition, the Company did not operate a digital asset tokenization or commodity trading platform, and Streamex Exchange’s business represented a new line of business for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the Company evaluated the accounting under ASC 805, Business Combinations, and ASC 810, Consolidation. The Company concluded the acquired set met the definition of a business. In making this determination, the Company considered the concentration test in ASC 805 and determined that substantially all of the fair value of the gross assets acquired was not concentrated in a single identifiable asset or group of similar identifiable assets. The Company also evaluated whether the acquiree is a VIE and concluded Streamex Exchange is a VIE because, among other factors, it lacked sufficient equity at risk to finance its activities without additional subordinated financial support and the equity holders, as a group, did not have substantive power to direct the activities that most significantly impact economic performance at the acquisition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it is the primary beneficiary because it has both (i) the power to direct the activities that most significantly impact Streamex Exchange’s economic performance through governance rights in place at closing and (ii) the obligation to absorb losses or the right to receive benefits that could potentially be significant. Accordingly, the transaction is accounted for as a business combination with the Company as the accounting acquirer, and Streamex Exchange has been consolidated in the Company’s financial statements from the acquisition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Approval and Contingent Features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Exchangeable Shares were not exchangeable into more than 19.99% of the Company’s outstanding common stock on a pre-transaction basis, in accordance with Nasdaq listing rules. Following the closing, the Company sought stockholder approval for certain matters related to the transaction, including the issuance of shares of common stock exchangeable for Exchangeable Shares, the issuance of shares underlying the Convertible Debentures, increases to the authorized share count and the 2023 Long-Term Incentive Plan, and amendments to the Company’s Amended and Restated Certificate of Incorporation. At the special meeting of stockholders held on September 5, 2025, all proposals except the issuance of shares exchangeable for Exchangeable Shares (Proposal A) were approved. Proposal A was subsequently approved on November 4,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stockholder approval of Proposal A on November 4, 2025, and subject to the terms of the Exchange Rights Agreement, the holders of Exchangeable Shares are entitled to exchange such shares for an aggregate of </w:t>
      </w:r>
      <w:bookmarkStart w:id="443" w:name="xdx_903_eus-gaap--SaleOfStockNumberOfSha"/>
      <w:bookmarkEnd w:id="443"/>
      <w:r>
        <w:rPr>
          <w:rFonts w:ascii="Times New Roman;Times;Serif" w:hAnsi="Times New Roman;Times;Serif"/>
          <w:b w:val="false"/>
          <w:i w:val="false"/>
          <w:caps w:val="false"/>
          <w:smallCaps w:val="false"/>
          <w:sz w:val="20"/>
        </w:rPr>
        <w:t xml:space="preserve">109,070,079 shares of the Company’s common stock representing up to </w:t>
      </w:r>
      <w:bookmarkStart w:id="444" w:name="xdx_90F_eus-gaap--SharebasedCompensation"/>
      <w:bookmarkEnd w:id="444"/>
      <w:r>
        <w:rPr>
          <w:rFonts w:ascii="Times New Roman;Times;Serif" w:hAnsi="Times New Roman;Times;Serif"/>
          <w:b w:val="false"/>
          <w:i w:val="false"/>
          <w:caps w:val="false"/>
          <w:smallCaps w:val="false"/>
          <w:sz w:val="20"/>
        </w:rPr>
        <w:t>75% of the Company’s fully diluted common stock as of the Share Purchase Agreement date.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Consideration Transferred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consideration transferred was $</w:t>
      </w:r>
      <w:bookmarkStart w:id="445" w:name="xdx_902_eus-gaap--BusinessCombinationCon"/>
      <w:bookmarkEnd w:id="445"/>
      <w:r>
        <w:rPr>
          <w:rFonts w:ascii="Times New Roman;Times;Serif" w:hAnsi="Times New Roman;Times;Serif"/>
          <w:b w:val="false"/>
          <w:i w:val="false"/>
          <w:caps w:val="false"/>
          <w:smallCaps w:val="false"/>
          <w:sz w:val="20"/>
        </w:rPr>
        <w:t xml:space="preserve">105,498, consisting entirely of Exchangeable Shares issued by ExchangeCo. Due to the lack of an active market for the Exchangeable Shares and the contingent nature of their conversion, a fundamentals-based valuation approach was used to estimate the fair value of the consideration. The contingent consideration related to the potential adjustment of the ratio at which each Exchangeable Share is exchangeable for shares of the Company’s common stock (the “Common Share Exchange Ratio”) from 1.00 to 1.25 if stockholder approval was not obtained within six months following the closing date. The Common Share Exchange Ratio is distinct from the acquisition consideration ratio of </w:t>
      </w:r>
      <w:bookmarkStart w:id="446" w:name="xdx_901_eus-gaap--SaleOfStockPricePerSha"/>
      <w:bookmarkEnd w:id="446"/>
      <w:r>
        <w:rPr>
          <w:rFonts w:ascii="Times New Roman;Times;Serif" w:hAnsi="Times New Roman;Times;Serif"/>
          <w:b w:val="false"/>
          <w:i w:val="false"/>
          <w:caps w:val="false"/>
          <w:smallCaps w:val="false"/>
          <w:sz w:val="20"/>
        </w:rPr>
        <w:t>2.046862 Exchangeable Shares issued per Purchased Share described above. The potential adjustment was not included in the purchase consideration as of May 28, 2025. Because stockholder approval was obtained on November 4, 2025, within six months following the closing date, the adjustment was not triggered, the Common Share Exchange Ratio remained 1.00, and no additional consideration was required.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received stockholder approval for the issuance of shares of common stock exchangeable for Exchangeable Shares and one share of Special Voting Preferred Stock in connection with the Share Purchase Agreement. As a result, the conversion cap was removed, and Streamex Exchange shareholders became able to convert their Exchangeable Shares into the Company’s common stock. Concurrently, the derivative liability associated with the Exchangeable Shares was reclassified to permanent equity. No derivative liability related to the Exchangeable Shares remained outstanding as of June 30, 2026 or December 31, 2025. Although the Exchangeable Shares were reclassified to permanent equity upon stockholder approval on November 4, 2025, the consideration transferred for purposes of the acquisition date purchase price allocation reflects the fair value of the Exchangeable Shares as of May 28,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Streamex Exchange, the Company incurred total acquisition-related costs of $</w:t>
      </w:r>
      <w:bookmarkStart w:id="447" w:name="xdx_90A_eus-gaap--BusinessCombinationAcq"/>
      <w:bookmarkEnd w:id="447"/>
      <w:r>
        <w:rPr>
          <w:rFonts w:ascii="Times New Roman;Times;Serif" w:hAnsi="Times New Roman;Times;Serif"/>
          <w:b w:val="false"/>
          <w:i w:val="false"/>
          <w:caps w:val="false"/>
          <w:smallCaps w:val="false"/>
          <w:sz w:val="20"/>
        </w:rPr>
        <w:t>5,900 during the year ended December 31, 2025, primarily consisting of legal, accounting, and consulting fees directly attributable to the transaction. These costs were expensed as incurred and are reflected in general and administrative expenses in the unaudited condensed consolidated statements of operations. No further acquisition-related costs were incurred during the six months ended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Price Allocation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applied the acquisition method of accounting in accordance with ASC 805 and recognized assets acquired and liabilities assumed at their estimated fair value as of the date of acquisition, with the excess purchase consideration recorded to goodwill. The Company completed its assessment of the fair values of the assets acquired and liabilities assumed during the three months ended March 31, 2026, and the measurement period has since closed. No measurement period adjustments were recorded during the six months ended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recorded as a business combination based on a valuation of assets acquired and liabilities assumed at their acquisition date fair values using unobservable inputs that are supported by little or no market activity and are significant to their fair value of the assets and liabilities (“Level 3” inputs). Goodwill represents the excess of the purchase price consideration over the valuation of the net assets acquired.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48" w:name="xdx_898_eus-gaap--ScheduleOfRecognizedId"/>
      <w:bookmarkEnd w:id="448"/>
      <w:r>
        <w:rPr>
          <w:rFonts w:ascii="Times New Roman;Times;Serif" w:hAnsi="Times New Roman;Times;Serif"/>
          <w:b w:val="false"/>
          <w:i w:val="false"/>
          <w:caps w:val="false"/>
          <w:smallCaps w:val="false"/>
          <w:sz w:val="20"/>
        </w:rPr>
        <w:t>The final allocation of the purchase consideration is as follows:</w:t>
      </w:r>
    </w:p>
    <w:p>
      <w:pPr>
        <w:pStyle w:val="TextBody"/>
        <w:pBdr/>
        <w:bidi w:val="0"/>
        <w:spacing w:before="0" w:after="0"/>
        <w:ind w:left="0" w:right="0" w:hanging="0"/>
        <w:jc w:val="both"/>
        <w:rPr>
          <w:caps w:val="false"/>
          <w:smallCaps w:val="false"/>
        </w:rPr>
      </w:pPr>
      <w:r>
        <w:rPr>
          <w:caps w:val="false"/>
          <w:smallCaps w:val="false"/>
        </w:rPr>
        <w:t> </w:t>
      </w:r>
      <w:bookmarkStart w:id="449" w:name="xdx_8B0_z6jbnfEURrTd"/>
      <w:bookmarkEnd w:id="449"/>
      <w:r>
        <w:rPr>
          <w:rFonts w:ascii="Times New Roman;Times;Serif" w:hAnsi="Times New Roman;Times;Serif"/>
          <w:b w:val="false"/>
          <w:i w:val="false"/>
          <w:caps w:val="false"/>
          <w:smallCaps w:val="false"/>
          <w:sz w:val="20"/>
        </w:rPr>
        <w:t>SCHEDULE OF TANGIBLE AND IDENTIFIABLE INTANGIBLE ASSETS ACQUIRED AND LIABILITIES ASSUMED</w:t>
      </w:r>
    </w:p>
    <w:tbl>
      <w:tblPr>
        <w:tblW w:w="5870" w:type="dxa"/>
        <w:jc w:val="left"/>
        <w:tblInd w:w="0" w:type="dxa"/>
        <w:tblLayout w:type="fixed"/>
        <w:tblCellMar>
          <w:top w:w="0" w:type="dxa"/>
          <w:left w:w="0" w:type="dxa"/>
          <w:bottom w:w="28" w:type="dxa"/>
          <w:right w:w="0" w:type="dxa"/>
        </w:tblCellMar>
      </w:tblPr>
      <w:tblGrid>
        <w:gridCol w:w="4760"/>
        <w:gridCol w:w="60"/>
        <w:gridCol w:w="140"/>
        <w:gridCol w:w="800"/>
        <w:gridCol w:w="110"/>
      </w:tblGrid>
      <w:tr>
        <w:trPr/>
        <w:tc>
          <w:tcPr>
            <w:tcW w:w="47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 Recognized as of the Acquisition Date</w:t>
            </w:r>
          </w:p>
        </w:tc>
        <w:tc>
          <w:tcPr>
            <w:tcW w:w="60" w:type="dxa"/>
            <w:tcBorders/>
            <w:tcMar>
              <w:bottom w:w="0" w:type="dxa"/>
            </w:tcMar>
            <w:vAlign w:val="center"/>
          </w:tcPr>
          <w:p>
            <w:pPr>
              <w:pStyle w:val="TableContents"/>
              <w:bidi w:val="0"/>
              <w:spacing w:before="0" w:after="283"/>
              <w:jc w:val="left"/>
              <w:rPr/>
            </w:pPr>
            <w:r>
              <w:rPr/>
              <w:t> </w:t>
            </w:r>
            <w:bookmarkStart w:id="450" w:name="xdx_49C_20250528_z9LljDOp7cY"/>
            <w:bookmarkEnd w:id="450"/>
          </w:p>
        </w:tc>
        <w:tc>
          <w:tcPr>
            <w:tcW w:w="940" w:type="dxa"/>
            <w:gridSpan w:val="2"/>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451" w:name="xdx_40D_eus-gaap--BusinessCombinationRec"/>
            <w:bookmarkEnd w:id="451"/>
          </w:p>
        </w:tc>
      </w:tr>
      <w:tr>
        <w:trPr/>
        <w:tc>
          <w:tcPr>
            <w:tcW w:w="476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w:t>
            </w:r>
          </w:p>
        </w:tc>
        <w:tc>
          <w:tcPr>
            <w:tcW w:w="110" w:type="dxa"/>
            <w:tcBorders/>
            <w:shd w:fill="FFFFFF" w:val="clear"/>
            <w:tcMar>
              <w:bottom w:w="0" w:type="dxa"/>
            </w:tcMar>
            <w:vAlign w:val="center"/>
          </w:tcPr>
          <w:p>
            <w:pPr>
              <w:pStyle w:val="TableContents"/>
              <w:bidi w:val="0"/>
              <w:spacing w:before="0" w:after="283"/>
              <w:jc w:val="left"/>
              <w:rPr/>
            </w:pPr>
            <w:r>
              <w:rPr/>
              <w:t> </w:t>
            </w:r>
            <w:bookmarkStart w:id="452" w:name="xdx_405_ecustom--BusinessCombinationReco"/>
            <w:bookmarkEnd w:id="452"/>
          </w:p>
        </w:tc>
      </w:tr>
      <w:tr>
        <w:trPr/>
        <w:tc>
          <w:tcPr>
            <w:tcW w:w="476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Due from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110" w:type="dxa"/>
            <w:tcBorders/>
            <w:shd w:fill="CCEEFF" w:val="clear"/>
            <w:tcMar>
              <w:bottom w:w="0" w:type="dxa"/>
            </w:tcMar>
            <w:vAlign w:val="center"/>
          </w:tcPr>
          <w:p>
            <w:pPr>
              <w:pStyle w:val="TableContents"/>
              <w:bidi w:val="0"/>
              <w:spacing w:before="0" w:after="283"/>
              <w:jc w:val="left"/>
              <w:rPr/>
            </w:pPr>
            <w:r>
              <w:rPr/>
              <w:t> </w:t>
            </w:r>
            <w:bookmarkStart w:id="453" w:name="xdx_40B_ecustom--BusinessCombinationReco"/>
            <w:bookmarkEnd w:id="453"/>
          </w:p>
        </w:tc>
      </w:tr>
      <w:tr>
        <w:trPr/>
        <w:tc>
          <w:tcPr>
            <w:tcW w:w="476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tax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110" w:type="dxa"/>
            <w:tcBorders/>
            <w:shd w:fill="FFFFFF" w:val="clear"/>
            <w:tcMar>
              <w:bottom w:w="0" w:type="dxa"/>
            </w:tcMar>
            <w:vAlign w:val="center"/>
          </w:tcPr>
          <w:p>
            <w:pPr>
              <w:pStyle w:val="TableContents"/>
              <w:bidi w:val="0"/>
              <w:spacing w:before="0" w:after="283"/>
              <w:jc w:val="left"/>
              <w:rPr/>
            </w:pPr>
            <w:r>
              <w:rPr/>
              <w:t> </w:t>
            </w:r>
            <w:bookmarkStart w:id="454" w:name="xdx_408_eus-gaap--BusinessCombinationRec"/>
            <w:bookmarkEnd w:id="454"/>
          </w:p>
        </w:tc>
      </w:tr>
      <w:tr>
        <w:trPr/>
        <w:tc>
          <w:tcPr>
            <w:tcW w:w="476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110" w:type="dxa"/>
            <w:tcBorders/>
            <w:shd w:fill="CCEEFF" w:val="clear"/>
            <w:tcMar>
              <w:bottom w:w="0" w:type="dxa"/>
            </w:tcMar>
            <w:vAlign w:val="center"/>
          </w:tcPr>
          <w:p>
            <w:pPr>
              <w:pStyle w:val="TableContents"/>
              <w:bidi w:val="0"/>
              <w:spacing w:before="0" w:after="283"/>
              <w:jc w:val="left"/>
              <w:rPr/>
            </w:pPr>
            <w:r>
              <w:rPr/>
              <w:t> </w:t>
            </w:r>
            <w:bookmarkStart w:id="455" w:name="xdx_40A_ecustom--BusinessCombinationReco"/>
            <w:bookmarkEnd w:id="455"/>
          </w:p>
        </w:tc>
      </w:tr>
      <w:tr>
        <w:trPr/>
        <w:tc>
          <w:tcPr>
            <w:tcW w:w="476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 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w:t>
            </w:r>
          </w:p>
        </w:tc>
        <w:tc>
          <w:tcPr>
            <w:tcW w:w="110" w:type="dxa"/>
            <w:tcBorders/>
            <w:shd w:fill="FFFFFF" w:val="clear"/>
            <w:tcMar>
              <w:bottom w:w="0" w:type="dxa"/>
            </w:tcMar>
            <w:vAlign w:val="center"/>
          </w:tcPr>
          <w:p>
            <w:pPr>
              <w:pStyle w:val="TableContents"/>
              <w:bidi w:val="0"/>
              <w:spacing w:before="0" w:after="283"/>
              <w:jc w:val="left"/>
              <w:rPr/>
            </w:pPr>
            <w:r>
              <w:rPr/>
              <w:t> </w:t>
            </w:r>
            <w:bookmarkStart w:id="456" w:name="xdx_407_ecustom--BusinessCombinationReco"/>
            <w:bookmarkEnd w:id="456"/>
          </w:p>
        </w:tc>
      </w:tr>
      <w:tr>
        <w:trPr/>
        <w:tc>
          <w:tcPr>
            <w:tcW w:w="476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110" w:type="dxa"/>
            <w:tcBorders/>
            <w:shd w:fill="CCEEFF" w:val="clear"/>
            <w:tcMar>
              <w:bottom w:w="0" w:type="dxa"/>
            </w:tcMar>
            <w:vAlign w:val="center"/>
          </w:tcPr>
          <w:p>
            <w:pPr>
              <w:pStyle w:val="TableContents"/>
              <w:bidi w:val="0"/>
              <w:spacing w:before="0" w:after="283"/>
              <w:jc w:val="left"/>
              <w:rPr/>
            </w:pPr>
            <w:r>
              <w:rPr/>
              <w:t> </w:t>
            </w:r>
            <w:bookmarkStart w:id="457" w:name="xdx_403_ecustom--BusinessCombinationReco"/>
            <w:bookmarkEnd w:id="457"/>
          </w:p>
        </w:tc>
      </w:tr>
      <w:tr>
        <w:trPr/>
        <w:tc>
          <w:tcPr>
            <w:tcW w:w="476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Legal and compliance framework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w:t>
            </w:r>
          </w:p>
        </w:tc>
        <w:tc>
          <w:tcPr>
            <w:tcW w:w="110" w:type="dxa"/>
            <w:tcBorders/>
            <w:shd w:fill="FFFFFF" w:val="clear"/>
            <w:tcMar>
              <w:bottom w:w="0" w:type="dxa"/>
            </w:tcMar>
            <w:vAlign w:val="center"/>
          </w:tcPr>
          <w:p>
            <w:pPr>
              <w:pStyle w:val="TableContents"/>
              <w:bidi w:val="0"/>
              <w:spacing w:before="0" w:after="283"/>
              <w:jc w:val="left"/>
              <w:rPr/>
            </w:pPr>
            <w:r>
              <w:rPr/>
              <w:t> </w:t>
            </w:r>
            <w:bookmarkStart w:id="458" w:name="xdx_400_ecustom--BusinessCombinationReco"/>
            <w:bookmarkEnd w:id="458"/>
          </w:p>
        </w:tc>
      </w:tr>
      <w:tr>
        <w:trPr/>
        <w:tc>
          <w:tcPr>
            <w:tcW w:w="476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70,435</w:t>
            </w:r>
          </w:p>
        </w:tc>
        <w:tc>
          <w:tcPr>
            <w:tcW w:w="110" w:type="dxa"/>
            <w:tcBorders/>
            <w:shd w:fill="CCEEFF" w:val="clear"/>
            <w:tcMar>
              <w:bottom w:w="0" w:type="dxa"/>
            </w:tcMar>
            <w:vAlign w:val="center"/>
          </w:tcPr>
          <w:p>
            <w:pPr>
              <w:pStyle w:val="TableContents"/>
              <w:bidi w:val="0"/>
              <w:spacing w:before="0" w:after="283"/>
              <w:jc w:val="left"/>
              <w:rPr/>
            </w:pPr>
            <w:r>
              <w:rPr/>
              <w:t> </w:t>
            </w:r>
            <w:bookmarkStart w:id="459" w:name="xdx_402_eus-gaap--BusinessCombinationRec"/>
            <w:bookmarkEnd w:id="459"/>
          </w:p>
        </w:tc>
      </w:tr>
      <w:tr>
        <w:trPr/>
        <w:tc>
          <w:tcPr>
            <w:tcW w:w="476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assets acquired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118,348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Liabilities assumed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460" w:name="xdx_409_ecustom--BusinessCombinationReco"/>
            <w:bookmarkEnd w:id="460"/>
          </w:p>
        </w:tc>
      </w:tr>
      <w:tr>
        <w:trPr/>
        <w:tc>
          <w:tcPr>
            <w:tcW w:w="476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1" w:name="xdx_40A_eus-gaap--BusinessCombinationRec"/>
            <w:bookmarkEnd w:id="461"/>
          </w:p>
        </w:tc>
      </w:tr>
      <w:tr>
        <w:trPr/>
        <w:tc>
          <w:tcPr>
            <w:tcW w:w="476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tax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(12,588</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2" w:name="xdx_405_eus-gaap--BusinessCombinationRec"/>
            <w:bookmarkEnd w:id="462"/>
          </w:p>
        </w:tc>
      </w:tr>
      <w:tr>
        <w:trPr/>
        <w:tc>
          <w:tcPr>
            <w:tcW w:w="476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liabilities assumed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(12,850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3" w:name="xdx_405_eus-gaap--BusinessCombinationRec"/>
            <w:bookmarkEnd w:id="463"/>
          </w:p>
        </w:tc>
      </w:tr>
      <w:tr>
        <w:trPr/>
        <w:tc>
          <w:tcPr>
            <w:tcW w:w="476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105,498</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64" w:name="xdx_8A1_zbcXf640Tbma"/>
      <w:bookmarkEnd w:id="46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tax liability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Streamex Exchange, the transaction was structured as a stock acquisition for both U.S. and Canadian tax purposes. No election was made under IRC §338(g); therefore, no step-up in the tax basis of the acquired assets was obtained in either jurisdiction. The purchase price allocation created taxable temporary differences related to identifiable intangible assets, resulting in a deferred tax liability of approximately $</w:t>
      </w:r>
      <w:bookmarkStart w:id="465" w:name="xdx_901_eus-gaap--DeferredTaxLiabilities"/>
      <w:bookmarkEnd w:id="465"/>
      <w:r>
        <w:rPr>
          <w:rFonts w:ascii="Times New Roman;Times;Serif" w:hAnsi="Times New Roman;Times;Serif"/>
          <w:b w:val="false"/>
          <w:i w:val="false"/>
          <w:caps w:val="false"/>
          <w:smallCaps w:val="false"/>
          <w:sz w:val="20"/>
        </w:rPr>
        <w:t xml:space="preserve">12,588, measured using the enacted combined Canadian federal and provincial rate of </w:t>
      </w:r>
      <w:bookmarkStart w:id="466" w:name="xdx_903_ecustom--FederalAndProvincialRat"/>
      <w:bookmarkEnd w:id="466"/>
      <w:r>
        <w:rPr>
          <w:rFonts w:ascii="Times New Roman;Times;Serif" w:hAnsi="Times New Roman;Times;Serif"/>
          <w:b w:val="false"/>
          <w:i w:val="false"/>
          <w:caps w:val="false"/>
          <w:smallCaps w:val="false"/>
          <w:sz w:val="20"/>
        </w:rPr>
        <w:t>26.5%. Because these deferred tax liabilities arise in a separate foreign jurisdiction, they cannot offset deferred tax assets of the U.S. parent. The corresponding increase in goodwill was recognized as part of purchase accounting.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the following finite-lived intangible assets: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 Valued at $</w:t>
            </w:r>
            <w:bookmarkStart w:id="467" w:name="xdx_900_eus-gaap--FiniteLivedIntangibleA"/>
            <w:bookmarkEnd w:id="467"/>
            <w:r>
              <w:rPr>
                <w:rFonts w:ascii="Times New Roman;Times;Serif" w:hAnsi="Times New Roman;Times;Serif"/>
                <w:b w:val="false"/>
                <w:i w:val="false"/>
                <w:caps w:val="false"/>
                <w:smallCaps w:val="false"/>
                <w:sz w:val="20"/>
              </w:rPr>
              <w:t xml:space="preserve">5,100 using the relief-from-royalty method, applying a </w:t>
            </w:r>
            <w:bookmarkStart w:id="468" w:name="xdx_908_ecustom--RoyaltyRate_iI_pid_dp_u"/>
            <w:bookmarkEnd w:id="468"/>
            <w:r>
              <w:rPr>
                <w:rFonts w:ascii="Times New Roman;Times;Serif" w:hAnsi="Times New Roman;Times;Serif"/>
                <w:b w:val="false"/>
                <w:i w:val="false"/>
                <w:caps w:val="false"/>
                <w:smallCaps w:val="false"/>
                <w:sz w:val="20"/>
              </w:rPr>
              <w:t xml:space="preserve">1.0% royalty rate and a </w:t>
            </w:r>
            <w:bookmarkStart w:id="469" w:name="xdx_900_ecustom--DiscountRate_iI_pid_dp_"/>
            <w:bookmarkEnd w:id="469"/>
            <w:r>
              <w:rPr>
                <w:rFonts w:ascii="Times New Roman;Times;Serif" w:hAnsi="Times New Roman;Times;Serif"/>
                <w:b w:val="false"/>
                <w:i w:val="false"/>
                <w:caps w:val="false"/>
                <w:smallCaps w:val="false"/>
                <w:sz w:val="20"/>
              </w:rPr>
              <w:t xml:space="preserve">40.5% discount rate. The trade name is expected to be utilized over a </w:t>
            </w:r>
            <w:bookmarkStart w:id="470" w:name="xdx_90D_eus-gaap--FiniteLivedIntangibleA"/>
            <w:bookmarkEnd w:id="470"/>
            <w:r>
              <w:rPr>
                <w:rFonts w:ascii="Times New Roman;Times;Serif" w:hAnsi="Times New Roman;Times;Serif"/>
                <w:b w:val="false"/>
                <w:i w:val="false"/>
                <w:caps w:val="false"/>
                <w:smallCaps w:val="false"/>
                <w:sz w:val="20"/>
              </w:rPr>
              <w:t>10-year period and is amortized accordingly.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Comprised of two distinct components, both valued using the multi-period excess earnings method (MPEEM) and amortized over </w:t>
            </w:r>
            <w:bookmarkStart w:id="471" w:name="xdx_90F_eus-gaap--FiniteLivedIntangibleA"/>
            <w:bookmarkEnd w:id="471"/>
            <w:r>
              <w:rPr>
                <w:rFonts w:ascii="Times New Roman;Times;Serif" w:hAnsi="Times New Roman;Times;Serif"/>
                <w:b w:val="false"/>
                <w:i w:val="false"/>
                <w:caps w:val="false"/>
                <w:smallCaps w:val="false"/>
                <w:sz w:val="20"/>
              </w:rPr>
              <w:t>8 years: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Securitization Platform: Valued at $</w:t>
            </w:r>
            <w:bookmarkStart w:id="472" w:name="xdx_90C_eus-gaap--FiniteLivedIntangibleA"/>
            <w:bookmarkEnd w:id="472"/>
            <w:r>
              <w:rPr>
                <w:rFonts w:ascii="Times New Roman;Times;Serif" w:hAnsi="Times New Roman;Times;Serif"/>
                <w:b w:val="false"/>
                <w:i w:val="false"/>
                <w:caps w:val="false"/>
                <w:smallCaps w:val="false"/>
                <w:sz w:val="20"/>
              </w:rPr>
              <w:t>31,100, representing proprietary protocols and infrastructure enabling the tokenization of real-world assets and integration with decentralized finance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Integration: Valued at $</w:t>
            </w:r>
            <w:bookmarkStart w:id="473" w:name="xdx_902_eus-gaap--FiniteLivedIntangibleA"/>
            <w:bookmarkEnd w:id="473"/>
            <w:r>
              <w:rPr>
                <w:rFonts w:ascii="Times New Roman;Times;Serif" w:hAnsi="Times New Roman;Times;Serif"/>
                <w:b w:val="false"/>
                <w:i w:val="false"/>
                <w:caps w:val="false"/>
                <w:smallCaps w:val="false"/>
                <w:sz w:val="20"/>
              </w:rPr>
              <w:t>8,900, reflecting proprietary systems facilitating token creation and secondary market trading through blockchain-based platforms.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Compliance Framework: Valued at $</w:t>
            </w:r>
            <w:bookmarkStart w:id="474" w:name="xdx_906_eus-gaap--FiniteLivedIntangibleA"/>
            <w:bookmarkEnd w:id="474"/>
            <w:r>
              <w:rPr>
                <w:rFonts w:ascii="Times New Roman;Times;Serif" w:hAnsi="Times New Roman;Times;Serif"/>
                <w:b w:val="false"/>
                <w:i w:val="false"/>
                <w:caps w:val="false"/>
                <w:smallCaps w:val="false"/>
                <w:sz w:val="20"/>
              </w:rPr>
              <w:t>2,400 using the cost approach, based on the estimated cost to recreate the regulatory and legal infrastructure necessary for operations. The asset has a useful life of 7 years and is amortized accordingly. The legal and compliance framework supports the Company’s ability to operate in regulated jurisdictions and reduce legal and regulatory risk exposure.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of $</w:t>
      </w:r>
      <w:bookmarkStart w:id="475" w:name="xdx_905_eus-gaap--GoodwillAcquiredDuring"/>
      <w:bookmarkEnd w:id="475"/>
      <w:r>
        <w:rPr>
          <w:rFonts w:ascii="Times New Roman;Times;Serif" w:hAnsi="Times New Roman;Times;Serif"/>
          <w:b w:val="false"/>
          <w:i w:val="false"/>
          <w:caps w:val="false"/>
          <w:smallCaps w:val="false"/>
          <w:sz w:val="20"/>
        </w:rPr>
        <w:t>70,435 represents the excess of the purchase consideration over the fair value of net assets acquired and was recognized in connection with the acquisition. None of the goodwill is expected to be deductible for tax purposes. The goodwill is assigned to the consolidated reporting unit, as the Company operates as a single segment. The goodwill primarily represents expected synergies, assembled workforce, and future growth potential. No goodwill arose from step acquisitions or noncontrolling interests.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76" w:name="xdx_80F_eus-gaap--GoodwillAndIntangibleA"/>
      <w:bookmarkEnd w:id="476"/>
      <w:r>
        <w:rPr>
          <w:rFonts w:ascii="Times New Roman;Times;Serif" w:hAnsi="Times New Roman;Times;Serif"/>
          <w:b/>
          <w:i w:val="false"/>
          <w:caps w:val="false"/>
          <w:smallCaps w:val="false"/>
          <w:sz w:val="20"/>
        </w:rPr>
        <w:t>NOTE 6</w:t>
      </w:r>
      <w:r>
        <w:rPr>
          <w:rFonts w:ascii="Times New Roman;Times;Serif" w:hAnsi="Times New Roman;Times;Serif"/>
          <w:b w:val="false"/>
          <w:i w:val="false"/>
          <w:caps w:val="false"/>
          <w:smallCaps w:val="false"/>
          <w:sz w:val="20"/>
        </w:rPr>
        <w:t xml:space="preserve"> – </w:t>
      </w:r>
      <w:bookmarkStart w:id="477" w:name="xdx_824_z6KB9s0G2Qpl"/>
      <w:bookmarkEnd w:id="477"/>
      <w:r>
        <w:rPr>
          <w:rFonts w:ascii="Times New Roman;Times;Serif" w:hAnsi="Times New Roman;Times;Serif"/>
          <w:b/>
          <w:i w:val="false"/>
          <w:caps w:val="false"/>
          <w:smallCaps w:val="false"/>
          <w:sz w:val="20"/>
        </w:rPr>
        <w:t>GOODWILL AND INTANGIBLE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78" w:name="xdx_890_eus-gaap--ScheduleOfGoodwillText"/>
      <w:bookmarkEnd w:id="478"/>
      <w:r>
        <w:rPr>
          <w:rFonts w:ascii="Times New Roman;Times;Serif" w:hAnsi="Times New Roman;Times;Serif"/>
          <w:b w:val="false"/>
          <w:i w:val="false"/>
          <w:caps w:val="false"/>
          <w:smallCaps w:val="false"/>
          <w:sz w:val="20"/>
        </w:rPr>
        <w:t>The following table shows the changes in the carrying amount of goodwill for the period:</w:t>
      </w:r>
    </w:p>
    <w:p>
      <w:pPr>
        <w:pStyle w:val="TextBody"/>
        <w:pBdr/>
        <w:bidi w:val="0"/>
        <w:spacing w:before="0" w:after="0"/>
        <w:ind w:left="0" w:right="0" w:hanging="0"/>
        <w:jc w:val="both"/>
        <w:rPr>
          <w:caps w:val="false"/>
          <w:smallCaps w:val="false"/>
        </w:rPr>
      </w:pPr>
      <w:r>
        <w:rPr>
          <w:caps w:val="false"/>
          <w:smallCaps w:val="false"/>
        </w:rPr>
        <w:t> </w:t>
      </w:r>
      <w:bookmarkStart w:id="479" w:name="xdx_8B9_zJFGWYJNl2g9"/>
      <w:bookmarkEnd w:id="479"/>
      <w:r>
        <w:rPr>
          <w:rFonts w:ascii="Times New Roman;Times;Serif" w:hAnsi="Times New Roman;Times;Serif"/>
          <w:b w:val="false"/>
          <w:i w:val="false"/>
          <w:caps w:val="false"/>
          <w:smallCaps w:val="false"/>
          <w:sz w:val="20"/>
        </w:rPr>
        <w:t>SCHEDULE OF CARRYING AMOUNT OF GOODWILL </w:t>
      </w:r>
    </w:p>
    <w:tbl>
      <w:tblPr>
        <w:tblW w:w="4790" w:type="dxa"/>
        <w:jc w:val="left"/>
        <w:tblInd w:w="0" w:type="dxa"/>
        <w:tblLayout w:type="fixed"/>
        <w:tblCellMar>
          <w:top w:w="0" w:type="dxa"/>
          <w:left w:w="0" w:type="dxa"/>
          <w:bottom w:w="0" w:type="dxa"/>
          <w:right w:w="0" w:type="dxa"/>
        </w:tblCellMar>
      </w:tblPr>
      <w:tblGrid>
        <w:gridCol w:w="3800"/>
        <w:gridCol w:w="60"/>
        <w:gridCol w:w="140"/>
        <w:gridCol w:w="680"/>
        <w:gridCol w:w="110"/>
      </w:tblGrid>
      <w:tr>
        <w:trPr/>
        <w:tc>
          <w:tcPr>
            <w:tcW w:w="38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Goodwill as of December 31, 2025 (1)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0" w:name="xdx_983_eus-gaap--Goodwill_iS_pn3n3_c202"/>
            <w:bookmarkEnd w:id="480"/>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70,984</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1" w:name="xdx_980_eus-gaap--GoodwillAcquiredDuring"/>
            <w:bookmarkEnd w:id="481"/>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82" w:name="xdx_988_eus-gaap--GoodwillImpairmentLoss"/>
            <w:bookmarkEnd w:id="482"/>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3" w:name="xdx_985_eus-gaap--GoodwillForeignCurrenc"/>
            <w:bookmarkEnd w:id="483"/>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Goodwill as of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4" w:name="xdx_98B_eus-gaap--Goodwill_iE_pn3n3_c202"/>
            <w:bookmarkEnd w:id="484"/>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68,521</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85" w:name="xdx_F02_zZuO56AlcgOg"/>
            <w:bookmarkEnd w:id="485"/>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86" w:name="xdx_F1E_zTTVe8TPDpa"/>
            <w:bookmarkEnd w:id="486"/>
            <w:r>
              <w:rPr>
                <w:rFonts w:ascii="Times New Roman;Times;Serif" w:hAnsi="Times New Roman;Times;Serif"/>
                <w:b w:val="false"/>
                <w:i w:val="false"/>
                <w:caps w:val="false"/>
                <w:smallCaps w:val="false"/>
                <w:sz w:val="20"/>
              </w:rPr>
              <w:t>Related to the acquisition of the Streamex Exchange. See Note 5, Business Acquisition for additional information. Goodwill was initially measured in the functional currency of Streamex Exchange and translated into U.S. dollars using the exchange rate in effect on the acquisition date. Subsequent changes in foreign exchange rates are reflected in the cumulative translation adjustment within other comprehensive loss.</w:t>
            </w:r>
          </w:p>
        </w:tc>
      </w:tr>
    </w:tbl>
    <w:p>
      <w:pPr>
        <w:pStyle w:val="TextBody"/>
        <w:pBdr/>
        <w:bidi w:val="0"/>
        <w:spacing w:before="0" w:after="0"/>
        <w:ind w:left="0" w:right="0" w:hanging="0"/>
        <w:jc w:val="both"/>
        <w:rPr>
          <w:caps w:val="false"/>
          <w:smallCaps w:val="false"/>
        </w:rPr>
      </w:pPr>
      <w:bookmarkStart w:id="487" w:name="xdx_8A3_zgYoRFPxWUTa"/>
      <w:bookmarkEnd w:id="48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evaluated the existence of any indicators of impairment in accordance with ASC 350, Intangibles—Goodwill and Other. Based on the qualitative assessment performed, management concluded that the combination of factors considered did not result in a triggering event requiring a quantitative impairment test. Based on the assessment, there was no goodwill impairment recognized in the three and six months ended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trade name, developed technology, legal and compliance framework, and patents, and are initially recorded at fair value. Long-lived intangible assets are amortized over their estimated useful lives in a method reflecting the pattern in which the economic benefits are consumed or amortized on a straight-line basis if such pattern cannot be reliably determined. The Company evaluates its finite-lived intangible assets for impairment under the held-and-used impairment model whenever events or changes in circumstances indicate that the carrying amount of an asset group may not be recoverable. During the three and six months ended June 30, 2026, the Company evaluated whether events or changes in circumstances indicated that the carrying amount of its intangible asset group may not be recoverable, including the Company’s operating losses, the extent and manner of use of the acquired platform assets, changes in the business and regulatory climate applicable to tokenized products, and market conditions. Based on the totality of that assessment, management concluded that no impairment indicators were present as of June 30, 2026 and accordingly no impairment charge was recorded for the three and six months ended June 30, 2026 or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Company’s intangible assets as of June 30, 2026 and December 31, 2025:</w:t>
      </w:r>
    </w:p>
    <w:p>
      <w:pPr>
        <w:pStyle w:val="TextBody"/>
        <w:pBdr/>
        <w:bidi w:val="0"/>
        <w:spacing w:before="0" w:after="0"/>
        <w:ind w:left="0" w:right="0" w:hanging="0"/>
        <w:jc w:val="both"/>
        <w:rPr>
          <w:caps w:val="false"/>
          <w:smallCaps w:val="false"/>
        </w:rPr>
      </w:pPr>
      <w:bookmarkStart w:id="488" w:name="xdx_895_eus-gaap--ScheduleOfImpairedInta"/>
      <w:bookmarkEnd w:id="488"/>
      <w:r>
        <w:rPr>
          <w:caps w:val="false"/>
          <w:smallCaps w:val="false"/>
        </w:rPr>
        <w:t> </w:t>
      </w:r>
      <w:bookmarkStart w:id="489" w:name="xdx_8BB_zQb6ZI7fD919"/>
      <w:bookmarkEnd w:id="489"/>
      <w:r>
        <w:rPr>
          <w:rFonts w:ascii="Times New Roman;Times;Serif" w:hAnsi="Times New Roman;Times;Serif"/>
          <w:b w:val="false"/>
          <w:i w:val="false"/>
          <w:caps w:val="false"/>
          <w:smallCaps w:val="false"/>
          <w:sz w:val="20"/>
        </w:rPr>
        <w:t>SCHEDULE OF INTANGIBLE ASSETS </w:t>
      </w:r>
    </w:p>
    <w:tbl>
      <w:tblPr>
        <w:tblW w:w="6383" w:type="dxa"/>
        <w:jc w:val="left"/>
        <w:tblInd w:w="0" w:type="dxa"/>
        <w:tblLayout w:type="fixed"/>
        <w:tblCellMar>
          <w:top w:w="0" w:type="dxa"/>
          <w:left w:w="0" w:type="dxa"/>
          <w:bottom w:w="0" w:type="dxa"/>
          <w:right w:w="0" w:type="dxa"/>
        </w:tblCellMar>
      </w:tblPr>
      <w:tblGrid>
        <w:gridCol w:w="3770"/>
        <w:gridCol w:w="60"/>
        <w:gridCol w:w="149"/>
        <w:gridCol w:w="725"/>
        <w:gridCol w:w="95"/>
        <w:gridCol w:w="60"/>
        <w:gridCol w:w="241"/>
        <w:gridCol w:w="1173"/>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0" w:name="xdx_49F_20260630_zy7s90V0vOf4"/>
            <w:bookmarkEnd w:id="490"/>
          </w:p>
        </w:tc>
        <w:tc>
          <w:tcPr>
            <w:tcW w:w="87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1" w:name="xdx_49C_20251231_zaTX2KfAhQ7c"/>
            <w:bookmarkEnd w:id="491"/>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492" w:name="xdx_402_eus-gaap--FiniteLivedIntangibleA"/>
            <w:bookmarkEnd w:id="492"/>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Trade name </w:t>
            </w:r>
            <w:bookmarkStart w:id="493" w:name="xdx_F44_z6ADa8g4WSR9"/>
            <w:bookmarkEnd w:id="493"/>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w:t>
            </w:r>
          </w:p>
        </w:tc>
        <w:tc>
          <w:tcPr>
            <w:tcW w:w="110" w:type="dxa"/>
            <w:tcBorders/>
            <w:shd w:fill="CCEEFF" w:val="clear"/>
            <w:vAlign w:val="center"/>
          </w:tcPr>
          <w:p>
            <w:pPr>
              <w:pStyle w:val="TableContents"/>
              <w:bidi w:val="0"/>
              <w:spacing w:before="0" w:after="283"/>
              <w:jc w:val="left"/>
              <w:rPr/>
            </w:pPr>
            <w:r>
              <w:rPr/>
              <w:t> </w:t>
            </w:r>
            <w:bookmarkStart w:id="494" w:name="xdx_40C_eus-gaap--FiniteLivedIntangibleA"/>
            <w:bookmarkEnd w:id="494"/>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Developed technology </w:t>
            </w:r>
            <w:bookmarkStart w:id="495" w:name="xdx_F45_zNMlvgRlVwDd"/>
            <w:bookmarkEnd w:id="495"/>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110" w:type="dxa"/>
            <w:tcBorders/>
            <w:shd w:fill="FFFFFF" w:val="clear"/>
            <w:vAlign w:val="center"/>
          </w:tcPr>
          <w:p>
            <w:pPr>
              <w:pStyle w:val="TableContents"/>
              <w:bidi w:val="0"/>
              <w:spacing w:before="0" w:after="283"/>
              <w:jc w:val="left"/>
              <w:rPr/>
            </w:pPr>
            <w:r>
              <w:rPr/>
              <w:t> </w:t>
            </w:r>
            <w:bookmarkStart w:id="496" w:name="xdx_40C_eus-gaap--FiniteLivedIntangibleA"/>
            <w:bookmarkEnd w:id="496"/>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Legal and compliance framework </w:t>
            </w:r>
            <w:bookmarkStart w:id="497" w:name="xdx_F4B_zXfh2vBHebSc"/>
            <w:bookmarkEnd w:id="497"/>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w:t>
            </w:r>
          </w:p>
        </w:tc>
        <w:tc>
          <w:tcPr>
            <w:tcW w:w="110" w:type="dxa"/>
            <w:tcBorders/>
            <w:shd w:fill="CCEEFF" w:val="clear"/>
            <w:vAlign w:val="center"/>
          </w:tcPr>
          <w:p>
            <w:pPr>
              <w:pStyle w:val="TableContents"/>
              <w:bidi w:val="0"/>
              <w:spacing w:before="0" w:after="283"/>
              <w:jc w:val="left"/>
              <w:rPr/>
            </w:pPr>
            <w:r>
              <w:rPr/>
              <w:t> </w:t>
            </w:r>
            <w:bookmarkStart w:id="498" w:name="xdx_404_eus-gaap--FiniteLivedIntangibleA"/>
            <w:bookmarkEnd w:id="498"/>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w:t>
            </w:r>
          </w:p>
        </w:tc>
        <w:tc>
          <w:tcPr>
            <w:tcW w:w="110" w:type="dxa"/>
            <w:tcBorders/>
            <w:shd w:fill="FFFFFF" w:val="clear"/>
            <w:vAlign w:val="center"/>
          </w:tcPr>
          <w:p>
            <w:pPr>
              <w:pStyle w:val="TableContents"/>
              <w:bidi w:val="0"/>
              <w:spacing w:before="0" w:after="283"/>
              <w:jc w:val="left"/>
              <w:rPr/>
            </w:pPr>
            <w:r>
              <w:rPr/>
              <w:t> </w:t>
            </w:r>
            <w:bookmarkStart w:id="499" w:name="xdx_40B_eus-gaap--FiniteLivedIntangibleA"/>
            <w:bookmarkEnd w:id="499"/>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47,880</w:t>
            </w:r>
          </w:p>
        </w:tc>
        <w:tc>
          <w:tcPr>
            <w:tcW w:w="110" w:type="dxa"/>
            <w:tcBorders/>
            <w:shd w:fill="CCEEFF" w:val="clear"/>
            <w:vAlign w:val="center"/>
          </w:tcPr>
          <w:p>
            <w:pPr>
              <w:pStyle w:val="TableContents"/>
              <w:bidi w:val="0"/>
              <w:spacing w:before="0" w:after="283"/>
              <w:jc w:val="left"/>
              <w:rPr/>
            </w:pPr>
            <w:r>
              <w:rPr/>
              <w:t> </w:t>
            </w:r>
            <w:bookmarkStart w:id="500" w:name="xdx_405_ecustom--FiniteLivedIntangibleAs"/>
            <w:bookmarkEnd w:id="500"/>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w:t>
            </w:r>
          </w:p>
        </w:tc>
        <w:tc>
          <w:tcPr>
            <w:tcW w:w="110" w:type="dxa"/>
            <w:tcBorders/>
            <w:shd w:fill="FFFFFF" w:val="clear"/>
            <w:vAlign w:val="center"/>
          </w:tcPr>
          <w:p>
            <w:pPr>
              <w:pStyle w:val="TableContents"/>
              <w:bidi w:val="0"/>
              <w:spacing w:before="0" w:after="283"/>
              <w:jc w:val="left"/>
              <w:rPr/>
            </w:pPr>
            <w:r>
              <w:rPr/>
              <w:t> </w:t>
            </w:r>
            <w:bookmarkStart w:id="501" w:name="xdx_409_eus-gaap--FiniteLivedIntangibleA"/>
            <w:bookmarkEnd w:id="501"/>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accumulated amortization</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2" w:name="xdx_408_eus-gaap--IntangibleAssetsNetExc"/>
            <w:bookmarkEnd w:id="502"/>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44,639</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03" w:name="xdx_F07_zYENownSi2B2"/>
            <w:bookmarkEnd w:id="503"/>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04" w:name="xdx_F16_zYOT3vCGbMgl"/>
            <w:bookmarkEnd w:id="504"/>
            <w:r>
              <w:rPr>
                <w:rFonts w:ascii="Times New Roman;Times;Serif" w:hAnsi="Times New Roman;Times;Serif"/>
                <w:b w:val="false"/>
                <w:i w:val="false"/>
                <w:caps w:val="false"/>
                <w:smallCaps w:val="false"/>
                <w:sz w:val="20"/>
              </w:rPr>
              <w:t>Intangible assets acquired in connection with the Streamex Exchange acquisition were initially measured in Canadian dollars and translated into U.S. dollars using the exchange rate in effect on the acquisition date. Subsequent changes in exchange rates are reflected in the carrying amounts presented above and recorded in other comprehensive loss as part of the cumulative translation adjustment.</w:t>
            </w:r>
          </w:p>
        </w:tc>
      </w:tr>
    </w:tbl>
    <w:p>
      <w:pPr>
        <w:pStyle w:val="TextBody"/>
        <w:pBdr/>
        <w:bidi w:val="0"/>
        <w:spacing w:before="0" w:after="0"/>
        <w:ind w:left="0" w:right="0" w:hanging="0"/>
        <w:jc w:val="center"/>
        <w:rPr>
          <w:caps w:val="false"/>
          <w:smallCaps w:val="false"/>
        </w:rPr>
      </w:pPr>
      <w:bookmarkStart w:id="505" w:name="xdx_8A5_zyJIIVyx9Kk8"/>
      <w:bookmarkEnd w:id="505"/>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for intangible assets was $</w:t>
      </w:r>
      <w:bookmarkStart w:id="506" w:name="xdx_900_eus-gaap--AmortizationOfIntangib"/>
      <w:bookmarkEnd w:id="506"/>
      <w:r>
        <w:rPr>
          <w:rFonts w:ascii="Times New Roman;Times;Serif" w:hAnsi="Times New Roman;Times;Serif"/>
          <w:b w:val="false"/>
          <w:i w:val="false"/>
          <w:caps w:val="false"/>
          <w:smallCaps w:val="false"/>
          <w:sz w:val="20"/>
        </w:rPr>
        <w:t>1,466 and $</w:t>
      </w:r>
      <w:bookmarkStart w:id="507" w:name="xdx_901_eus-gaap--AmortizationOfIntangib"/>
      <w:bookmarkEnd w:id="507"/>
      <w:r>
        <w:rPr>
          <w:rFonts w:ascii="Times New Roman;Times;Serif" w:hAnsi="Times New Roman;Times;Serif"/>
          <w:b w:val="false"/>
          <w:i w:val="false"/>
          <w:caps w:val="false"/>
          <w:smallCaps w:val="false"/>
          <w:sz w:val="20"/>
        </w:rPr>
        <w:t>539 for the three months ended June 30, 2026 and 2025, respectively, and $</w:t>
      </w:r>
      <w:bookmarkStart w:id="508" w:name="xdx_901_eus-gaap--AmortizationOfIntangib"/>
      <w:bookmarkEnd w:id="508"/>
      <w:r>
        <w:rPr>
          <w:rFonts w:ascii="Times New Roman;Times;Serif" w:hAnsi="Times New Roman;Times;Serif"/>
          <w:b w:val="false"/>
          <w:i w:val="false"/>
          <w:caps w:val="false"/>
          <w:smallCaps w:val="false"/>
          <w:sz w:val="20"/>
        </w:rPr>
        <w:t>2,945 and $</w:t>
      </w:r>
      <w:bookmarkStart w:id="509" w:name="xdx_909_eus-gaap--AmortizationOfIntangib"/>
      <w:bookmarkEnd w:id="509"/>
      <w:r>
        <w:rPr>
          <w:rFonts w:ascii="Times New Roman;Times;Serif" w:hAnsi="Times New Roman;Times;Serif"/>
          <w:b w:val="false"/>
          <w:i w:val="false"/>
          <w:caps w:val="false"/>
          <w:smallCaps w:val="false"/>
          <w:sz w:val="20"/>
        </w:rPr>
        <w:t>544 for the six months ended June 30, 2026 and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10" w:name="xdx_892_eus-gaap--ScheduleofFiniteLivedI"/>
      <w:bookmarkEnd w:id="510"/>
      <w:r>
        <w:rPr>
          <w:rFonts w:ascii="Times New Roman;Times;Serif" w:hAnsi="Times New Roman;Times;Serif"/>
          <w:b w:val="false"/>
          <w:i w:val="false"/>
          <w:caps w:val="false"/>
          <w:smallCaps w:val="false"/>
          <w:sz w:val="20"/>
        </w:rPr>
        <w:t>Expected future amortization expense of intangible assets as of June 30, 2026, is as follows:</w:t>
      </w:r>
    </w:p>
    <w:p>
      <w:pPr>
        <w:pStyle w:val="TextBody"/>
        <w:pBdr/>
        <w:bidi w:val="0"/>
        <w:spacing w:before="0" w:after="0"/>
        <w:ind w:left="0" w:right="0" w:hanging="0"/>
        <w:jc w:val="both"/>
        <w:rPr>
          <w:caps w:val="false"/>
          <w:smallCaps w:val="false"/>
        </w:rPr>
      </w:pPr>
      <w:r>
        <w:rPr>
          <w:caps w:val="false"/>
          <w:smallCaps w:val="false"/>
        </w:rPr>
        <w:t> </w:t>
      </w:r>
      <w:bookmarkStart w:id="511" w:name="xdx_8B6_zPVePfu17kOi"/>
      <w:bookmarkEnd w:id="511"/>
      <w:r>
        <w:rPr>
          <w:rFonts w:ascii="Times New Roman;Times;Serif" w:hAnsi="Times New Roman;Times;Serif"/>
          <w:b w:val="false"/>
          <w:i w:val="false"/>
          <w:caps w:val="false"/>
          <w:smallCaps w:val="false"/>
          <w:sz w:val="20"/>
        </w:rPr>
        <w:t>SCHEDULE OF FUTURE AMORTIZATION EXPENSE OF INTANGIBLE ASSETS </w:t>
      </w:r>
    </w:p>
    <w:tbl>
      <w:tblPr>
        <w:tblW w:w="2565" w:type="dxa"/>
        <w:jc w:val="left"/>
        <w:tblInd w:w="0" w:type="dxa"/>
        <w:tblLayout w:type="fixed"/>
        <w:tblCellMar>
          <w:top w:w="0" w:type="dxa"/>
          <w:left w:w="0" w:type="dxa"/>
          <w:bottom w:w="0" w:type="dxa"/>
          <w:right w:w="0" w:type="dxa"/>
        </w:tblCellMar>
      </w:tblPr>
      <w:tblGrid>
        <w:gridCol w:w="1610"/>
        <w:gridCol w:w="60"/>
        <w:gridCol w:w="140"/>
        <w:gridCol w:w="680"/>
        <w:gridCol w:w="75"/>
      </w:tblGrid>
      <w:tr>
        <w:trPr/>
        <w:tc>
          <w:tcPr>
            <w:tcW w:w="1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2" w:name="xdx_497_20260630_zeIdbEUTxxVh"/>
            <w:bookmarkEnd w:id="512"/>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3" w:name="xdx_40A_eus-gaap--FiniteLivedIntangibleA"/>
            <w:bookmarkEnd w:id="513"/>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Remainder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2,755</w:t>
            </w:r>
          </w:p>
        </w:tc>
        <w:tc>
          <w:tcPr>
            <w:tcW w:w="75" w:type="dxa"/>
            <w:tcBorders/>
            <w:shd w:fill="CCEEFF" w:val="clear"/>
            <w:vAlign w:val="center"/>
          </w:tcPr>
          <w:p>
            <w:pPr>
              <w:pStyle w:val="TableContents"/>
              <w:bidi w:val="0"/>
              <w:spacing w:before="0" w:after="283"/>
              <w:jc w:val="left"/>
              <w:rPr/>
            </w:pPr>
            <w:r>
              <w:rPr/>
              <w:t> </w:t>
            </w:r>
            <w:bookmarkStart w:id="514" w:name="xdx_407_eus-gaap--FiniteLivedIntangibleA"/>
            <w:bookmarkEnd w:id="514"/>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w:t>
            </w:r>
          </w:p>
        </w:tc>
        <w:tc>
          <w:tcPr>
            <w:tcW w:w="75" w:type="dxa"/>
            <w:tcBorders/>
            <w:shd w:fill="FFFFFF" w:val="clear"/>
            <w:vAlign w:val="center"/>
          </w:tcPr>
          <w:p>
            <w:pPr>
              <w:pStyle w:val="TableContents"/>
              <w:bidi w:val="0"/>
              <w:spacing w:before="0" w:after="283"/>
              <w:jc w:val="left"/>
              <w:rPr/>
            </w:pPr>
            <w:r>
              <w:rPr/>
              <w:t> </w:t>
            </w:r>
            <w:bookmarkStart w:id="515" w:name="xdx_407_eus-gaap--FiniteLivedIntangibleA"/>
            <w:bookmarkEnd w:id="515"/>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w:t>
            </w:r>
          </w:p>
        </w:tc>
        <w:tc>
          <w:tcPr>
            <w:tcW w:w="75" w:type="dxa"/>
            <w:tcBorders/>
            <w:shd w:fill="CCEEFF" w:val="clear"/>
            <w:vAlign w:val="center"/>
          </w:tcPr>
          <w:p>
            <w:pPr>
              <w:pStyle w:val="TableContents"/>
              <w:bidi w:val="0"/>
              <w:spacing w:before="0" w:after="283"/>
              <w:jc w:val="left"/>
              <w:rPr/>
            </w:pPr>
            <w:r>
              <w:rPr/>
              <w:t> </w:t>
            </w:r>
            <w:bookmarkStart w:id="516" w:name="xdx_404_eus-gaap--FiniteLivedIntangibleA"/>
            <w:bookmarkEnd w:id="516"/>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w:t>
            </w:r>
          </w:p>
        </w:tc>
        <w:tc>
          <w:tcPr>
            <w:tcW w:w="75" w:type="dxa"/>
            <w:tcBorders/>
            <w:shd w:fill="FFFFFF" w:val="clear"/>
            <w:vAlign w:val="center"/>
          </w:tcPr>
          <w:p>
            <w:pPr>
              <w:pStyle w:val="TableContents"/>
              <w:bidi w:val="0"/>
              <w:spacing w:before="0" w:after="283"/>
              <w:jc w:val="left"/>
              <w:rPr/>
            </w:pPr>
            <w:r>
              <w:rPr/>
              <w:t> </w:t>
            </w:r>
            <w:bookmarkStart w:id="517" w:name="xdx_403_eus-gaap--FiniteLivedIntangibleA"/>
            <w:bookmarkEnd w:id="517"/>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w:t>
            </w:r>
          </w:p>
        </w:tc>
        <w:tc>
          <w:tcPr>
            <w:tcW w:w="75" w:type="dxa"/>
            <w:tcBorders/>
            <w:shd w:fill="CCEEFF" w:val="clear"/>
            <w:vAlign w:val="center"/>
          </w:tcPr>
          <w:p>
            <w:pPr>
              <w:pStyle w:val="TableContents"/>
              <w:bidi w:val="0"/>
              <w:spacing w:before="0" w:after="283"/>
              <w:jc w:val="left"/>
              <w:rPr/>
            </w:pPr>
            <w:r>
              <w:rPr/>
              <w:t> </w:t>
            </w:r>
            <w:bookmarkStart w:id="518" w:name="xdx_407_ecustom--FiniteLivedIntangibleAs"/>
            <w:bookmarkEnd w:id="518"/>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15,451</w:t>
            </w:r>
          </w:p>
        </w:tc>
        <w:tc>
          <w:tcPr>
            <w:tcW w:w="75" w:type="dxa"/>
            <w:tcBorders/>
            <w:shd w:fill="FFFFFF" w:val="clear"/>
            <w:vAlign w:val="center"/>
          </w:tcPr>
          <w:p>
            <w:pPr>
              <w:pStyle w:val="TableContents"/>
              <w:bidi w:val="0"/>
              <w:spacing w:before="0" w:after="283"/>
              <w:jc w:val="left"/>
              <w:rPr/>
            </w:pPr>
            <w:r>
              <w:rPr/>
              <w:t> </w:t>
            </w:r>
            <w:bookmarkStart w:id="519" w:name="xdx_405_eus-gaap--FiniteLivedIntangibleA"/>
            <w:bookmarkEnd w:id="519"/>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40,242</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520" w:name="xdx_8A4_zRKxDZQsR8J5"/>
      <w:bookmarkEnd w:id="52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21" w:name="xdx_802_eus-gaap--PropertyPlantAndEquipm"/>
      <w:bookmarkEnd w:id="521"/>
      <w:r>
        <w:rPr>
          <w:rFonts w:ascii="Times New Roman;Times;Serif" w:hAnsi="Times New Roman;Times;Serif"/>
          <w:b/>
          <w:i w:val="false"/>
          <w:caps w:val="false"/>
          <w:smallCaps w:val="false"/>
          <w:sz w:val="20"/>
        </w:rPr>
        <w:t>NOTE 7</w:t>
      </w:r>
      <w:r>
        <w:rPr>
          <w:rFonts w:ascii="Times New Roman;Times;Serif" w:hAnsi="Times New Roman;Times;Serif"/>
          <w:b w:val="false"/>
          <w:i w:val="false"/>
          <w:caps w:val="false"/>
          <w:smallCaps w:val="false"/>
          <w:sz w:val="20"/>
        </w:rPr>
        <w:t xml:space="preserve"> – </w:t>
      </w:r>
      <w:bookmarkStart w:id="522" w:name="xdx_821_zSjGfJXFIgql"/>
      <w:bookmarkEnd w:id="522"/>
      <w:r>
        <w:rPr>
          <w:rFonts w:ascii="Times New Roman;Times;Serif" w:hAnsi="Times New Roman;Times;Serif"/>
          <w:b/>
          <w:i w:val="false"/>
          <w:caps w:val="false"/>
          <w:smallCaps w:val="false"/>
          <w:sz w:val="20"/>
        </w:rPr>
        <w:t>PROPERTY AND EQUIPMENT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23" w:name="xdx_897_eus-gaap--PropertyPlantAndEquipm"/>
      <w:bookmarkEnd w:id="523"/>
      <w:r>
        <w:rPr>
          <w:rFonts w:ascii="Times New Roman;Times;Serif" w:hAnsi="Times New Roman;Times;Serif"/>
          <w:b w:val="false"/>
          <w:i w:val="false"/>
          <w:caps w:val="false"/>
          <w:smallCaps w:val="false"/>
          <w:sz w:val="20"/>
        </w:rPr>
        <w:t>Property and equipment as of June 30, 2026, and December 31, 2025 is summarized as follows:</w:t>
      </w:r>
    </w:p>
    <w:p>
      <w:pPr>
        <w:pStyle w:val="TextBody"/>
        <w:pBdr/>
        <w:bidi w:val="0"/>
        <w:spacing w:before="0" w:after="0"/>
        <w:ind w:left="0" w:right="0" w:hanging="0"/>
        <w:jc w:val="both"/>
        <w:rPr>
          <w:caps w:val="false"/>
          <w:smallCaps w:val="false"/>
        </w:rPr>
      </w:pPr>
      <w:r>
        <w:rPr>
          <w:caps w:val="false"/>
          <w:smallCaps w:val="false"/>
        </w:rPr>
        <w:t> </w:t>
      </w:r>
      <w:bookmarkStart w:id="524" w:name="xdx_8B8_zksKDxQcd7if"/>
      <w:bookmarkEnd w:id="524"/>
      <w:r>
        <w:rPr>
          <w:rFonts w:ascii="Times New Roman;Times;Serif" w:hAnsi="Times New Roman;Times;Serif"/>
          <w:b w:val="false"/>
          <w:i w:val="false"/>
          <w:caps w:val="false"/>
          <w:smallCaps w:val="false"/>
          <w:sz w:val="20"/>
        </w:rPr>
        <w:t>SCHEDULE OF PROPERTY AND EQUIPMENT </w:t>
      </w:r>
    </w:p>
    <w:tbl>
      <w:tblPr>
        <w:tblW w:w="5543" w:type="dxa"/>
        <w:jc w:val="left"/>
        <w:tblInd w:w="0" w:type="dxa"/>
        <w:tblLayout w:type="fixed"/>
        <w:tblCellMar>
          <w:top w:w="0" w:type="dxa"/>
          <w:left w:w="0" w:type="dxa"/>
          <w:bottom w:w="0" w:type="dxa"/>
          <w:right w:w="0" w:type="dxa"/>
        </w:tblCellMar>
      </w:tblPr>
      <w:tblGrid>
        <w:gridCol w:w="2930"/>
        <w:gridCol w:w="60"/>
        <w:gridCol w:w="158"/>
        <w:gridCol w:w="716"/>
        <w:gridCol w:w="95"/>
        <w:gridCol w:w="60"/>
        <w:gridCol w:w="254"/>
        <w:gridCol w:w="1160"/>
        <w:gridCol w:w="11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5" w:name="xdx_497_20260630_zo4IdcnC3MD1"/>
            <w:bookmarkEnd w:id="525"/>
          </w:p>
        </w:tc>
        <w:tc>
          <w:tcPr>
            <w:tcW w:w="87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6" w:name="xdx_495_20251231_zy46uP2SYm26"/>
            <w:bookmarkEnd w:id="526"/>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527" w:name="xdx_400_eus-gaap--PropertyPlantAndEquipm"/>
            <w:bookmarkEnd w:id="527"/>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equipment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110" w:type="dxa"/>
            <w:tcBorders/>
            <w:shd w:fill="CCEEFF" w:val="clear"/>
            <w:vAlign w:val="center"/>
          </w:tcPr>
          <w:p>
            <w:pPr>
              <w:pStyle w:val="TableContents"/>
              <w:bidi w:val="0"/>
              <w:spacing w:before="0" w:after="283"/>
              <w:jc w:val="left"/>
              <w:rPr/>
            </w:pPr>
            <w:r>
              <w:rPr/>
              <w:t> </w:t>
            </w:r>
            <w:bookmarkStart w:id="528" w:name="xdx_408_eus-gaap--PropertyPlantAndEquipm"/>
            <w:bookmarkEnd w:id="528"/>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fixtures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110" w:type="dxa"/>
            <w:tcBorders/>
            <w:shd w:fill="FFFFFF" w:val="clear"/>
            <w:vAlign w:val="center"/>
          </w:tcPr>
          <w:p>
            <w:pPr>
              <w:pStyle w:val="TableContents"/>
              <w:bidi w:val="0"/>
              <w:spacing w:before="0" w:after="283"/>
              <w:jc w:val="left"/>
              <w:rPr/>
            </w:pPr>
            <w:r>
              <w:rPr/>
              <w:t> </w:t>
            </w:r>
            <w:bookmarkStart w:id="529" w:name="xdx_405_eus-gaap--PropertyPlantAndEquipm"/>
            <w:bookmarkEnd w:id="529"/>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Testing/Demo equipment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w:t>
            </w:r>
          </w:p>
        </w:tc>
        <w:tc>
          <w:tcPr>
            <w:tcW w:w="110" w:type="dxa"/>
            <w:tcBorders/>
            <w:shd w:fill="CCEEFF" w:val="clear"/>
            <w:vAlign w:val="center"/>
          </w:tcPr>
          <w:p>
            <w:pPr>
              <w:pStyle w:val="TableContents"/>
              <w:bidi w:val="0"/>
              <w:spacing w:before="0" w:after="283"/>
              <w:jc w:val="left"/>
              <w:rPr/>
            </w:pPr>
            <w:r>
              <w:rPr/>
              <w:t> </w:t>
            </w:r>
            <w:bookmarkStart w:id="530" w:name="xdx_404_eus-gaap--PropertyPlantAndEquipm"/>
            <w:bookmarkEnd w:id="530"/>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110" w:type="dxa"/>
            <w:tcBorders/>
            <w:shd w:fill="FFFFFF" w:val="clear"/>
            <w:vAlign w:val="center"/>
          </w:tcPr>
          <w:p>
            <w:pPr>
              <w:pStyle w:val="TableContents"/>
              <w:bidi w:val="0"/>
              <w:spacing w:before="0" w:after="283"/>
              <w:jc w:val="left"/>
              <w:rPr/>
            </w:pPr>
            <w:r>
              <w:rPr/>
              <w:t> </w:t>
            </w:r>
            <w:bookmarkStart w:id="531" w:name="xdx_409_eus-gaap--PropertyPlantAndEquipm"/>
            <w:bookmarkEnd w:id="531"/>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w:t>
            </w:r>
          </w:p>
        </w:tc>
        <w:tc>
          <w:tcPr>
            <w:tcW w:w="110" w:type="dxa"/>
            <w:tcBorders/>
            <w:shd w:fill="CCEEFF" w:val="clear"/>
            <w:vAlign w:val="center"/>
          </w:tcPr>
          <w:p>
            <w:pPr>
              <w:pStyle w:val="TableContents"/>
              <w:bidi w:val="0"/>
              <w:spacing w:before="0" w:after="283"/>
              <w:jc w:val="left"/>
              <w:rPr/>
            </w:pPr>
            <w:r>
              <w:rPr/>
              <w:t> </w:t>
            </w:r>
            <w:bookmarkStart w:id="532" w:name="xdx_402_eus-gaap--AccumulatedDepreciatio"/>
            <w:bookmarkEnd w:id="532"/>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3" w:name="xdx_407_eus-gaap--PropertyPlantAndEquipm"/>
            <w:bookmarkEnd w:id="533"/>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534" w:name="xdx_8AF_zknLmwsPwN84"/>
      <w:bookmarkEnd w:id="534"/>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evaluated whether any events or changes in circumstances indicated that the carrying amounts of its property and equipment may not be recoverable. Based on this assessment, no impairment indicators were identified and </w:t>
      </w:r>
      <w:bookmarkStart w:id="535" w:name="xdx_906_eus-gaap--AssetImpairmentCharges"/>
      <w:bookmarkStart w:id="536" w:name="xdx_908_eus-gaap--AssetImpairmentCharges"/>
      <w:bookmarkStart w:id="537" w:name="xdx_909_eus-gaap--AssetImpairmentCharges"/>
      <w:bookmarkStart w:id="538" w:name="xdx_90C_eus-gaap--AssetImpairmentCharges"/>
      <w:bookmarkEnd w:id="535"/>
      <w:bookmarkEnd w:id="536"/>
      <w:bookmarkEnd w:id="537"/>
      <w:bookmarkEnd w:id="538"/>
      <w:r>
        <w:rPr>
          <w:rFonts w:ascii="Times New Roman;Times;Serif" w:hAnsi="Times New Roman;Times;Serif"/>
          <w:b w:val="false"/>
          <w:i w:val="false"/>
          <w:caps w:val="false"/>
          <w:smallCaps w:val="false"/>
          <w:sz w:val="20"/>
        </w:rPr>
        <w:t>no impairment charges were recorded during the three and six months ended June 30, 2026 or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w:t>
      </w:r>
      <w:bookmarkStart w:id="539" w:name="xdx_905_eus-gaap--Depreciation_pn3n3_c20"/>
      <w:bookmarkEnd w:id="539"/>
      <w:r>
        <w:rPr>
          <w:rFonts w:ascii="Times New Roman;Times;Serif" w:hAnsi="Times New Roman;Times;Serif"/>
          <w:b w:val="false"/>
          <w:i w:val="false"/>
          <w:caps w:val="false"/>
          <w:smallCaps w:val="false"/>
          <w:sz w:val="20"/>
        </w:rPr>
        <w:t>5 and $</w:t>
      </w:r>
      <w:bookmarkStart w:id="540" w:name="xdx_907_eus-gaap--Depreciation_pn3n3_c20"/>
      <w:bookmarkEnd w:id="540"/>
      <w:r>
        <w:rPr>
          <w:rFonts w:ascii="Times New Roman;Times;Serif" w:hAnsi="Times New Roman;Times;Serif"/>
          <w:b w:val="false"/>
          <w:i w:val="false"/>
          <w:caps w:val="false"/>
          <w:smallCaps w:val="false"/>
          <w:sz w:val="20"/>
        </w:rPr>
        <w:t>18 for the three and six months ended June 30, 2026, respectively, and $</w:t>
      </w:r>
      <w:bookmarkStart w:id="541" w:name="xdx_906_eus-gaap--Depreciation_pn3n3_c20"/>
      <w:bookmarkEnd w:id="541"/>
      <w:r>
        <w:rPr>
          <w:rFonts w:ascii="Times New Roman;Times;Serif" w:hAnsi="Times New Roman;Times;Serif"/>
          <w:b w:val="false"/>
          <w:i w:val="false"/>
          <w:caps w:val="false"/>
          <w:smallCaps w:val="false"/>
          <w:sz w:val="20"/>
        </w:rPr>
        <w:t>15 and $</w:t>
      </w:r>
      <w:bookmarkStart w:id="542" w:name="xdx_900_eus-gaap--Depreciation_pn3n3_c20"/>
      <w:bookmarkEnd w:id="542"/>
      <w:r>
        <w:rPr>
          <w:rFonts w:ascii="Times New Roman;Times;Serif" w:hAnsi="Times New Roman;Times;Serif"/>
          <w:b w:val="false"/>
          <w:i w:val="false"/>
          <w:caps w:val="false"/>
          <w:smallCaps w:val="false"/>
          <w:sz w:val="20"/>
        </w:rPr>
        <w:t>33 for the three and six months ended June 30,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43" w:name="xdx_80D_eus-gaap--MarketableSecuritiesTe"/>
      <w:bookmarkEnd w:id="543"/>
      <w:r>
        <w:rPr>
          <w:rFonts w:ascii="Times New Roman;Times;Serif" w:hAnsi="Times New Roman;Times;Serif"/>
          <w:b/>
          <w:i w:val="false"/>
          <w:caps w:val="false"/>
          <w:smallCaps w:val="false"/>
          <w:sz w:val="20"/>
        </w:rPr>
        <w:t xml:space="preserve">NOTE 8 – </w:t>
      </w:r>
      <w:bookmarkStart w:id="544" w:name="xdx_821_zATXWuErx6Wj"/>
      <w:bookmarkEnd w:id="544"/>
      <w:r>
        <w:rPr>
          <w:rFonts w:ascii="Times New Roman;Times;Serif" w:hAnsi="Times New Roman;Times;Serif"/>
          <w:b/>
          <w:i w:val="false"/>
          <w:caps w:val="false"/>
          <w:smallCaps w:val="false"/>
          <w:sz w:val="20"/>
        </w:rPr>
        <w:t>MARKETABLE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Exchange-Traded Funds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securities consist of shares of exchange-traded funds that invest primarily in short-term U.S. Treasury securities and investment-grade corporate debt instruments. Because the Company holds equity interests in the exchange-traded funds rather than the underlying debt securities directly, the investments are accounted for as equity securities under ASC 321, Investments — Equity Securities, rather than as debt securities under ASC 320, Investments — Debt Securities. See Note 14 — Fair Value Measurements.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Company’s marketable securities consisted of an exchange-traded fund portfolio with a cost basis of approximately $</w:t>
      </w:r>
      <w:bookmarkStart w:id="545" w:name="xdx_908_eus-gaap--MarketableSecurities_i"/>
      <w:bookmarkEnd w:id="545"/>
      <w:r>
        <w:rPr>
          <w:rFonts w:ascii="Times New Roman;Times;Serif" w:hAnsi="Times New Roman;Times;Serif"/>
          <w:b w:val="false"/>
          <w:i w:val="false"/>
          <w:caps w:val="false"/>
          <w:smallCaps w:val="false"/>
          <w:sz w:val="20"/>
        </w:rPr>
        <w:t>12,981 and a fair value of approximately $</w:t>
      </w:r>
      <w:bookmarkStart w:id="546" w:name="xdx_901_eus-gaap--MarketableSecuritiesCu"/>
      <w:bookmarkEnd w:id="546"/>
      <w:r>
        <w:rPr>
          <w:rFonts w:ascii="Times New Roman;Times;Serif" w:hAnsi="Times New Roman;Times;Serif"/>
          <w:b w:val="false"/>
          <w:i w:val="false"/>
          <w:caps w:val="false"/>
          <w:smallCaps w:val="false"/>
          <w:sz w:val="20"/>
        </w:rPr>
        <w:t>12,861. Based on the underlying unrounded amounts, the Company recognized a net unrealized loss of $</w:t>
      </w:r>
      <w:bookmarkStart w:id="547" w:name="xdx_90E_eus-gaap--MarketableSecuritiesUn"/>
      <w:bookmarkEnd w:id="547"/>
      <w:r>
        <w:rPr>
          <w:rFonts w:ascii="Times New Roman;Times;Serif" w:hAnsi="Times New Roman;Times;Serif"/>
          <w:b w:val="false"/>
          <w:i w:val="false"/>
          <w:caps w:val="false"/>
          <w:smallCaps w:val="false"/>
          <w:sz w:val="20"/>
        </w:rPr>
        <w:t>119 during the six months ended June 30, 2026, all of which related to securities held as of June 30, 2026 and is included in change in fair value of marketable securities in the unaudited condensed consolidated statements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Company’s marketable securities consisted of its investment in Empress Royalty Corp., which was sold in full during the six months ended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Empress Royalty Corp.</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Company acquired approximately </w:t>
      </w:r>
      <w:bookmarkStart w:id="548" w:name="xdx_90B_eus-gaap--BusinessCombinationSte"/>
      <w:bookmarkEnd w:id="548"/>
      <w:r>
        <w:rPr>
          <w:rFonts w:ascii="Times New Roman;Times;Serif" w:hAnsi="Times New Roman;Times;Serif"/>
          <w:b w:val="false"/>
          <w:i w:val="false"/>
          <w:caps w:val="false"/>
          <w:smallCaps w:val="false"/>
          <w:sz w:val="20"/>
        </w:rPr>
        <w:t>9.9% of the outstanding common shares of Empress Royalty Corp. (“Empress”), a publicly traded royalty company, in exchange for shares of the Company’s common stock. Because the Company does not have significant influence over Empress, the investment was accounted for as a marketable security rather than under the equity method. At December 31, 2025, the fair value of the investment was approximately $</w:t>
      </w:r>
      <w:bookmarkStart w:id="549" w:name="xdx_90C_eus-gaap--InvestmentOwnedAtFairV"/>
      <w:bookmarkEnd w:id="549"/>
      <w:r>
        <w:rPr>
          <w:rFonts w:ascii="Times New Roman;Times;Serif" w:hAnsi="Times New Roman;Times;Serif"/>
          <w:b w:val="false"/>
          <w:i w:val="false"/>
          <w:caps w:val="false"/>
          <w:smallCaps w:val="false"/>
          <w:sz w:val="20"/>
        </w:rPr>
        <w:t>9,706.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sold its entire investment in Empress Royalty Corp. for gross proceeds of approximately $</w:t>
      </w:r>
      <w:bookmarkStart w:id="550" w:name="xdx_902_eus-gaap--ProceedsFromSaleAndMat"/>
      <w:bookmarkEnd w:id="550"/>
      <w:r>
        <w:rPr>
          <w:rFonts w:ascii="Times New Roman;Times;Serif" w:hAnsi="Times New Roman;Times;Serif"/>
          <w:b w:val="false"/>
          <w:i w:val="false"/>
          <w:caps w:val="false"/>
          <w:smallCaps w:val="false"/>
          <w:sz w:val="20"/>
        </w:rPr>
        <w:t>10,190 and recognized a transaction-specific realized gain of approximately $</w:t>
      </w:r>
      <w:bookmarkStart w:id="551" w:name="xdx_904_eus-gaap--MarketableSecuritiesRe"/>
      <w:bookmarkEnd w:id="551"/>
      <w:r>
        <w:rPr>
          <w:rFonts w:ascii="Times New Roman;Times;Serif" w:hAnsi="Times New Roman;Times;Serif"/>
          <w:b w:val="false"/>
          <w:i w:val="false"/>
          <w:caps w:val="false"/>
          <w:smallCaps w:val="false"/>
          <w:sz w:val="20"/>
        </w:rPr>
        <w:t>484 relative to the investment’s December 31, 2025 carrying value. During the three months ended June 30, 2026, the Company recognized realized losses of approximately $</w:t>
      </w:r>
      <w:bookmarkStart w:id="552" w:name="xdx_907_ecustom--MarketableSecuritiesRea"/>
      <w:bookmarkEnd w:id="552"/>
      <w:r>
        <w:rPr>
          <w:rFonts w:ascii="Times New Roman;Times;Serif" w:hAnsi="Times New Roman;Times;Serif"/>
          <w:b w:val="false"/>
          <w:i w:val="false"/>
          <w:caps w:val="false"/>
          <w:smallCaps w:val="false"/>
          <w:sz w:val="20"/>
        </w:rPr>
        <w:t>106 on sales of exchange-traded fund securities. The Empress gain and realized results from other marketable-security transactions produced a net realized gain on marketable securities of $</w:t>
      </w:r>
      <w:bookmarkStart w:id="553" w:name="xdx_907_ecustom--MarketableSecuritiesRea"/>
      <w:bookmarkEnd w:id="553"/>
      <w:r>
        <w:rPr>
          <w:rFonts w:ascii="Times New Roman;Times;Serif" w:hAnsi="Times New Roman;Times;Serif"/>
          <w:b w:val="false"/>
          <w:i w:val="false"/>
          <w:caps w:val="false"/>
          <w:smallCaps w:val="false"/>
          <w:sz w:val="20"/>
        </w:rPr>
        <w:t xml:space="preserve">377 for the six months ended June 30, 2026, as presented in the unaudited condensed consolidated statements of operations. The Company held </w:t>
      </w:r>
      <w:bookmarkStart w:id="554" w:name="xdx_90F_eus-gaap--Investments_iI_pn3n3_d"/>
      <w:bookmarkEnd w:id="554"/>
      <w:r>
        <w:rPr>
          <w:rFonts w:ascii="Times New Roman;Times;Serif" w:hAnsi="Times New Roman;Times;Serif"/>
          <w:b w:val="false"/>
          <w:i w:val="false"/>
          <w:caps w:val="false"/>
          <w:smallCaps w:val="false"/>
          <w:sz w:val="20"/>
        </w:rPr>
        <w:t>no investment in Empress Royalty Corp. as of June 30, 2026.</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55" w:name="xdx_802_eus-gaap--InvestmentTextBlock_zp"/>
      <w:bookmarkEnd w:id="555"/>
      <w:r>
        <w:rPr>
          <w:rFonts w:ascii="Times New Roman;Times;Serif" w:hAnsi="Times New Roman;Times;Serif"/>
          <w:b/>
          <w:i w:val="false"/>
          <w:caps w:val="false"/>
          <w:smallCaps w:val="false"/>
          <w:sz w:val="20"/>
        </w:rPr>
        <w:t xml:space="preserve">NOTE 9 – </w:t>
      </w:r>
      <w:bookmarkStart w:id="556" w:name="xdx_825_zAV2yx3KFSUb"/>
      <w:bookmarkEnd w:id="556"/>
      <w:r>
        <w:rPr>
          <w:rFonts w:ascii="Times New Roman;Times;Serif" w:hAnsi="Times New Roman;Times;Serif"/>
          <w:b/>
          <w:i w:val="false"/>
          <w:caps w:val="false"/>
          <w:smallCaps w:val="false"/>
          <w:sz w:val="20"/>
        </w:rPr>
        <w:t>INVESTMENT MEASURED AT NAV</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26, 2026, the Company funded a subscription for </w:t>
      </w:r>
      <w:bookmarkStart w:id="557" w:name="xdx_908_eus-gaap--InvestmentOwnedBalance"/>
      <w:bookmarkEnd w:id="557"/>
      <w:r>
        <w:rPr>
          <w:rFonts w:ascii="Times New Roman;Times;Serif" w:hAnsi="Times New Roman;Times;Serif"/>
          <w:b w:val="false"/>
          <w:i w:val="false"/>
          <w:caps w:val="false"/>
          <w:smallCaps w:val="false"/>
          <w:sz w:val="20"/>
        </w:rPr>
        <w:t>2,000 Class A-1 non-voting shares of Metalayer Digital Fund I (the “Fund”), a Cayman Islands exempted company registered with the Cayman Islands Monetary Authority as a regulated mutual fund and an investment company, for an aggregate subscription price of $</w:t>
      </w:r>
      <w:bookmarkStart w:id="558" w:name="xdx_90E_eus-gaap--InvestmentOwnedAtFairV"/>
      <w:bookmarkEnd w:id="558"/>
      <w:r>
        <w:rPr>
          <w:rFonts w:ascii="Times New Roman;Times;Serif" w:hAnsi="Times New Roman;Times;Serif"/>
          <w:b w:val="false"/>
          <w:i w:val="false"/>
          <w:caps w:val="false"/>
          <w:smallCaps w:val="false"/>
          <w:sz w:val="20"/>
        </w:rPr>
        <w:t>2,000 funded through the transfer of USDC. The Fund’s investment program acquires tokenized securities at a discount to net asset value for realization at the issuer’s redemption window and deploys unutilized capital in on-chain assets, and may invest in digital assets, tokenized securities, traditional securities, and commodities.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interest is a passive, noncontrolling investment that the Company does not consolidate and does not account for under the equity method. The investment is valued using the fund’s reported NAV per share as a practical expedient under ASC 820. Such investments are excluded from the fair value hierarchy. Changes in the net asset value are recognized in earnings. The following table summarizes activity for the period:</w:t>
      </w:r>
    </w:p>
    <w:p>
      <w:pPr>
        <w:pStyle w:val="TextBody"/>
        <w:pBdr/>
        <w:bidi w:val="0"/>
        <w:spacing w:before="0" w:after="0"/>
        <w:ind w:left="0" w:right="0" w:hanging="0"/>
        <w:jc w:val="both"/>
        <w:rPr>
          <w:caps w:val="false"/>
          <w:smallCaps w:val="false"/>
        </w:rPr>
      </w:pPr>
      <w:bookmarkStart w:id="559" w:name="xdx_892_eus-gaap--InvestmentTableTextBlo"/>
      <w:bookmarkEnd w:id="559"/>
      <w:r>
        <w:rPr>
          <w:caps w:val="false"/>
          <w:smallCaps w:val="false"/>
        </w:rPr>
        <w:t> </w:t>
      </w:r>
      <w:bookmarkStart w:id="560" w:name="xdx_8B5_zRIL7HPbsMm3"/>
      <w:bookmarkEnd w:id="560"/>
      <w:r>
        <w:rPr>
          <w:rFonts w:ascii="Times New Roman;Times;Serif" w:hAnsi="Times New Roman;Times;Serif"/>
          <w:b w:val="false"/>
          <w:i w:val="false"/>
          <w:caps w:val="false"/>
          <w:smallCaps w:val="false"/>
          <w:sz w:val="20"/>
        </w:rPr>
        <w:t>SCHEDULE OF ACTIVITY  </w:t>
      </w:r>
    </w:p>
    <w:tbl>
      <w:tblPr>
        <w:tblW w:w="4100" w:type="dxa"/>
        <w:jc w:val="left"/>
        <w:tblInd w:w="0" w:type="dxa"/>
        <w:tblLayout w:type="fixed"/>
        <w:tblCellMar>
          <w:top w:w="0" w:type="dxa"/>
          <w:left w:w="0" w:type="dxa"/>
          <w:bottom w:w="0" w:type="dxa"/>
          <w:right w:w="0" w:type="dxa"/>
        </w:tblCellMar>
      </w:tblPr>
      <w:tblGrid>
        <w:gridCol w:w="3230"/>
        <w:gridCol w:w="60"/>
        <w:gridCol w:w="140"/>
        <w:gridCol w:w="560"/>
        <w:gridCol w:w="110"/>
      </w:tblGrid>
      <w:tr>
        <w:trPr/>
        <w:tc>
          <w:tcPr>
            <w:tcW w:w="3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61" w:name="xdx_494_20260526__20260630_zvibaEC61oU8"/>
            <w:bookmarkEnd w:id="561"/>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62" w:name="xdx_406_ecustom--InvestmentMeasuredAtNet"/>
            <w:bookmarkEnd w:id="562"/>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subscription, May 26,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0" w:type="dxa"/>
            <w:tcBorders/>
            <w:shd w:fill="CCEEFF" w:val="clear"/>
            <w:vAlign w:val="center"/>
          </w:tcPr>
          <w:p>
            <w:pPr>
              <w:pStyle w:val="TableContents"/>
              <w:bidi w:val="0"/>
              <w:spacing w:before="0" w:after="283"/>
              <w:jc w:val="left"/>
              <w:rPr/>
            </w:pPr>
            <w:r>
              <w:rPr/>
              <w:t> </w:t>
            </w:r>
            <w:bookmarkStart w:id="563" w:name="xdx_40E_eus-gaap--UnrealizedGainLossOnIn"/>
            <w:bookmarkEnd w:id="563"/>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4" w:name="xdx_40A_ecustom--InvestmentMeasuredAtNet"/>
            <w:bookmarkEnd w:id="564"/>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amount,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1,828</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565" w:name="xdx_8A0_zBbn1fHcrW07"/>
      <w:bookmarkEnd w:id="565"/>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unrealized loss of $</w:t>
      </w:r>
      <w:bookmarkStart w:id="566" w:name="xdx_901_eus-gaap--UnrealizedGainLossOnIn"/>
      <w:bookmarkStart w:id="567" w:name="xdx_906_eus-gaap--UnrealizedGainLossOnIn"/>
      <w:bookmarkEnd w:id="566"/>
      <w:bookmarkEnd w:id="567"/>
      <w:r>
        <w:rPr>
          <w:rFonts w:ascii="Times New Roman;Times;Serif" w:hAnsi="Times New Roman;Times;Serif"/>
          <w:b w:val="false"/>
          <w:i w:val="false"/>
          <w:caps w:val="false"/>
          <w:smallCaps w:val="false"/>
          <w:sz w:val="20"/>
        </w:rPr>
        <w:t>172 was recognized in other income (expense), net on the accompanying unaudited condensed statement of operations for the three and six months ended June 30, 2026. The Class A-1 shares are subject to a three-month lock-up expiring August 26, 2026 and are redeemable thereafter only on the last business day of each calendar quarter upon 15 calendar days’ prior written notice, such that the earliest available redemption date is September 30, 2026; no redemption gate or fee applies. Based on these terms and management’s intent to realize the investment within one year, the investment is classified as a current asset. The Company has no unfunded commitments to the Fund or to any related fund vehicle. See Note 14 — Fair Value Measurements.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also a holder of GLDY tokens, which were purchased during the second quarter of 2026 for consideration of approximately $</w:t>
      </w:r>
      <w:bookmarkStart w:id="568" w:name="xdx_90E_eus-gaap--CryptoAssetPurchase_pn"/>
      <w:bookmarkEnd w:id="568"/>
      <w:r>
        <w:rPr>
          <w:rFonts w:ascii="Times New Roman;Times;Serif" w:hAnsi="Times New Roman;Times;Serif"/>
          <w:b w:val="false"/>
          <w:i w:val="false"/>
          <w:caps w:val="false"/>
          <w:smallCaps w:val="false"/>
          <w:sz w:val="20"/>
        </w:rPr>
        <w:t>1,000, received in USDC digital assets. Because these GLDY tokens represent a noncontrolling ownership interest in the Company’s consolidated subsidiary, Streamex Ltd., and the Company retained control of Streamex Ltd., the sale was accounted for as a change in the Company’s ownership interest, and no gain or loss was recognized in net income. The difference between the consideration received and the carrying amount of the noncontrolling interest transferred was recorded as a reduction of additional paid-in capital attributable to the Company. See Note 18 — Noncontrolling Interests. Management evaluated its relationships with the Fund and its investment manager and concluded that they are not related parties of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69" w:name="xdx_805_eus-gaap--OtherAssetsDisclosureT"/>
      <w:bookmarkEnd w:id="569"/>
      <w:r>
        <w:rPr>
          <w:rFonts w:ascii="Times New Roman;Times;Serif" w:hAnsi="Times New Roman;Times;Serif"/>
          <w:b/>
          <w:i w:val="false"/>
          <w:caps w:val="false"/>
          <w:smallCaps w:val="false"/>
          <w:sz w:val="20"/>
        </w:rPr>
        <w:t xml:space="preserve">NOTE 10 – </w:t>
      </w:r>
      <w:bookmarkStart w:id="570" w:name="xdx_825_zq1vGBedlcK9"/>
      <w:bookmarkEnd w:id="570"/>
      <w:r>
        <w:rPr>
          <w:rFonts w:ascii="Times New Roman;Times;Serif" w:hAnsi="Times New Roman;Times;Serif"/>
          <w:b/>
          <w:i w:val="false"/>
          <w:caps w:val="false"/>
          <w:smallCaps w:val="false"/>
          <w:sz w:val="20"/>
        </w:rPr>
        <w:t>OTHER ASSETS — GOLD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Gold Held at Cost — Streamex Ltd. (VIE)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through Streamex Ltd., its consolidated variable interest entity, holds physical gold bullion to support the GLDY token program and related leasing activities. The gold is classified as “Other assets held at cost — gold” within non-current assets on the unaudited condensed consolidated balance sheet. The Company classifies the gold as non-current because it does not expect to liquidate the gold within the next twelve months. Cost is determined on a specific identification basis, and ongoing storage, insurance, and custody costs are expensed as incurred (see Note 12 — Streamex Ltd. (VIE)).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gold held at cost was composed of approximately $</w:t>
      </w:r>
      <w:bookmarkStart w:id="571" w:name="xdx_90F_eus-gaap--OtherAssets_iI_pn3n3_c"/>
      <w:bookmarkEnd w:id="571"/>
      <w:r>
        <w:rPr>
          <w:rFonts w:ascii="Times New Roman;Times;Serif" w:hAnsi="Times New Roman;Times;Serif"/>
          <w:b w:val="false"/>
          <w:i w:val="false"/>
          <w:caps w:val="false"/>
          <w:smallCaps w:val="false"/>
          <w:sz w:val="20"/>
        </w:rPr>
        <w:t>1,000 of gold reclassified from held for sale, approximately $</w:t>
      </w:r>
      <w:bookmarkStart w:id="572" w:name="xdx_908_eus-gaap--PaymentsToAcquireMinin"/>
      <w:bookmarkEnd w:id="572"/>
      <w:r>
        <w:rPr>
          <w:rFonts w:ascii="Times New Roman;Times;Serif" w:hAnsi="Times New Roman;Times;Serif"/>
          <w:b w:val="false"/>
          <w:i w:val="false"/>
          <w:caps w:val="false"/>
          <w:smallCaps w:val="false"/>
          <w:sz w:val="20"/>
        </w:rPr>
        <w:t>14,375 of gold acquired for cash, and approximately $</w:t>
      </w:r>
      <w:bookmarkStart w:id="573" w:name="xdx_903_eus-gaap--OtherNoncashIncome_pn3"/>
      <w:bookmarkEnd w:id="573"/>
      <w:r>
        <w:rPr>
          <w:rFonts w:ascii="Times New Roman;Times;Serif" w:hAnsi="Times New Roman;Times;Serif"/>
          <w:b w:val="false"/>
          <w:i w:val="false"/>
          <w:caps w:val="false"/>
          <w:smallCaps w:val="false"/>
          <w:sz w:val="20"/>
        </w:rPr>
        <w:t>88 of gold received in kind in settlement of gold lease income. As of June 30, 2026, the aggregate carrying amount of gold held by Streamex Ltd., based on the underlying unrounded amounts, was $</w:t>
      </w:r>
      <w:bookmarkStart w:id="574" w:name="xdx_904_eus-gaap--OtherAssetsNoncurrent_"/>
      <w:bookmarkEnd w:id="574"/>
      <w:r>
        <w:rPr>
          <w:rFonts w:ascii="Times New Roman;Times;Serif" w:hAnsi="Times New Roman;Times;Serif"/>
          <w:b w:val="false"/>
          <w:i w:val="false"/>
          <w:caps w:val="false"/>
          <w:smallCaps w:val="false"/>
          <w:sz w:val="20"/>
        </w:rPr>
        <w:t>15,464 and was classified as “Other assets held at cost — gold” within non-current assets on the unaudited condensed consolidated balance sheet. The independently rounded components presented above may not sum to the rounded aggregate carrying amount. See Note 4 — Gold Lease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recoverability assessment under ASC 360-10-35, management considered both market-based and asset-specific factors, including gold market prices as of the balance sheet date, and concluded that no triggering events existed and no impairment charges were recorded during the three or six months ended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Legacy Gold Bullion — Sold February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Company held LBMA Good Delivery gold bullion in secure third-party custody, of which approximately $</w:t>
      </w:r>
      <w:bookmarkStart w:id="575" w:name="xdx_904_eus-gaap--OtherAssetsCurrent_iI_"/>
      <w:bookmarkEnd w:id="575"/>
      <w:r>
        <w:rPr>
          <w:rFonts w:ascii="Times New Roman;Times;Serif" w:hAnsi="Times New Roman;Times;Serif"/>
          <w:b w:val="false"/>
          <w:i w:val="false"/>
          <w:caps w:val="false"/>
          <w:smallCaps w:val="false"/>
          <w:sz w:val="20"/>
        </w:rPr>
        <w:t>23,472 was classified as held for sale and pledged as collateral under the Company’s secured convertible debentures, and approximately $</w:t>
      </w:r>
      <w:bookmarkStart w:id="576" w:name="xdx_90E_eus-gaap--OtherAssetsCurrent_iI_"/>
      <w:bookmarkEnd w:id="576"/>
      <w:r>
        <w:rPr>
          <w:rFonts w:ascii="Times New Roman;Times;Serif" w:hAnsi="Times New Roman;Times;Serif"/>
          <w:b w:val="false"/>
          <w:i w:val="false"/>
          <w:caps w:val="false"/>
          <w:smallCaps w:val="false"/>
          <w:sz w:val="20"/>
        </w:rPr>
        <w:t>1,000 was unrestricted. On December 29, 2025, management committed to a plan to sell this gold in connection with the Company’s plan to resolve and repay its secured convertible debentures, and the gold met the held-for-sale criteria under ASC 360-10-45-9 as of that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transferred $</w:t>
      </w:r>
      <w:bookmarkStart w:id="577" w:name="xdx_90E_eus-gaap--OtherAssetsCurrent_iI_"/>
      <w:bookmarkEnd w:id="577"/>
      <w:r>
        <w:rPr>
          <w:rFonts w:ascii="Times New Roman;Times;Serif" w:hAnsi="Times New Roman;Times;Serif"/>
          <w:b w:val="false"/>
          <w:i w:val="false"/>
          <w:caps w:val="false"/>
          <w:smallCaps w:val="false"/>
          <w:sz w:val="20"/>
        </w:rPr>
        <w:t>1,000 of unrestricted gold to Streamex Ltd. in connection with the establishment of the GLDY token program, as described above. On February 5, 2026, the Company completed the sale of the remaining gold previously classified as held for sale, with a carrying amount of approximately $</w:t>
      </w:r>
      <w:bookmarkStart w:id="578" w:name="xdx_909_eus-gaap--OtherAssetsCurrent_iI_"/>
      <w:bookmarkEnd w:id="578"/>
      <w:r>
        <w:rPr>
          <w:rFonts w:ascii="Times New Roman;Times;Serif" w:hAnsi="Times New Roman;Times;Serif"/>
          <w:b w:val="false"/>
          <w:i w:val="false"/>
          <w:caps w:val="false"/>
          <w:smallCaps w:val="false"/>
          <w:sz w:val="20"/>
        </w:rPr>
        <w:t>23,472, for cash proceeds of approximately $</w:t>
      </w:r>
      <w:bookmarkStart w:id="579" w:name="xdx_904_ecustom--ProceedsFromSaleOfGold_"/>
      <w:bookmarkEnd w:id="579"/>
      <w:r>
        <w:rPr>
          <w:rFonts w:ascii="Times New Roman;Times;Serif" w:hAnsi="Times New Roman;Times;Serif"/>
          <w:b w:val="false"/>
          <w:i w:val="false"/>
          <w:caps w:val="false"/>
          <w:smallCaps w:val="false"/>
          <w:sz w:val="20"/>
        </w:rPr>
        <w:t>26,410, resulting in a realized gain of approximately $</w:t>
      </w:r>
      <w:bookmarkStart w:id="580" w:name="xdx_90F_eus-gaap--DebtSecuritiesAvailabl"/>
      <w:bookmarkEnd w:id="580"/>
      <w:r>
        <w:rPr>
          <w:rFonts w:ascii="Times New Roman;Times;Serif" w:hAnsi="Times New Roman;Times;Serif"/>
          <w:b w:val="false"/>
          <w:i w:val="false"/>
          <w:caps w:val="false"/>
          <w:smallCaps w:val="false"/>
          <w:sz w:val="20"/>
        </w:rPr>
        <w:t>2,938, which is included within total other income (expense), net, in the unaudited condensed consolidated statements of operations for the six months ended June 30, 2026. The proceeds were used to fund the repayment of the Company’s secured convertible debentures. See Note 22 — Convertible Debentures and Related Derivative Instruments. Upon completion of the sale and settlement of the convertible debentures, all related security interests, liens, and custodial arrangements were terminated, and no gold bullion classified as held for sale remained on the unaudited condensed consolidated balance sheet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81" w:name="xdx_80B_eus-gaap--CryptoAssetTextBlock_z"/>
      <w:bookmarkEnd w:id="581"/>
      <w:r>
        <w:rPr>
          <w:rFonts w:ascii="Times New Roman;Times;Serif" w:hAnsi="Times New Roman;Times;Serif"/>
          <w:b/>
          <w:i w:val="false"/>
          <w:caps w:val="false"/>
          <w:smallCaps w:val="false"/>
          <w:sz w:val="20"/>
        </w:rPr>
        <w:t xml:space="preserve">NOTE 11 – </w:t>
      </w:r>
      <w:bookmarkStart w:id="582" w:name="xdx_825_zxf9AOGY18vb"/>
      <w:bookmarkEnd w:id="582"/>
      <w:r>
        <w:rPr>
          <w:rFonts w:ascii="Times New Roman;Times;Serif" w:hAnsi="Times New Roman;Times;Serif"/>
          <w:b/>
          <w:i w:val="false"/>
          <w:caps w:val="false"/>
          <w:smallCaps w:val="false"/>
          <w:sz w:val="20"/>
        </w:rPr>
        <w:t>DIGITAL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held digital assets with a carrying amount of $</w:t>
      </w:r>
      <w:bookmarkStart w:id="583" w:name="xdx_903_eus-gaap--CryptoAssetFairValueCu"/>
      <w:bookmarkEnd w:id="583"/>
      <w:r>
        <w:rPr>
          <w:rFonts w:ascii="Times New Roman;Times;Serif" w:hAnsi="Times New Roman;Times;Serif"/>
          <w:b w:val="false"/>
          <w:i w:val="false"/>
          <w:caps w:val="false"/>
          <w:smallCaps w:val="false"/>
          <w:sz w:val="20"/>
        </w:rPr>
        <w:t>6,001, consisting primarily of USDC and a de minimis balance of other digital assets with an aggregate carrying amount of less than $</w:t>
      </w:r>
      <w:bookmarkStart w:id="584" w:name="xdx_90C_eus-gaap--CryptoAssetFairValue_i"/>
      <w:bookmarkEnd w:id="584"/>
      <w:r>
        <w:rPr>
          <w:rFonts w:ascii="Times New Roman;Times;Serif" w:hAnsi="Times New Roman;Times;Serif"/>
          <w:b w:val="false"/>
          <w:i w:val="false"/>
          <w:caps w:val="false"/>
          <w:smallCaps w:val="false"/>
          <w:sz w:val="20"/>
        </w:rPr>
        <w:t xml:space="preserve">1. The Company held </w:t>
      </w:r>
      <w:bookmarkStart w:id="585" w:name="xdx_90A_eus-gaap--CryptoAssetFairValueCu"/>
      <w:bookmarkEnd w:id="585"/>
      <w:r>
        <w:rPr>
          <w:rFonts w:ascii="Times New Roman;Times;Serif" w:hAnsi="Times New Roman;Times;Serif"/>
          <w:b w:val="false"/>
          <w:i w:val="false"/>
          <w:caps w:val="false"/>
          <w:smallCaps w:val="false"/>
          <w:sz w:val="20"/>
        </w:rPr>
        <w:t>no digital assets as of December 31, 2025. The carrying amount of USDC approximated its one-for-one redemption value; the difference was not material, and no credit loss allowance or impairment was recognized during the three or six months ended June 30, 2026. The Company uses USDC as a medium of exchange to settle transactions with counterparties in the digital asset industry, and to fund and settle activities related to its tokenized gold platform.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digital assets are held for its own account in custody with Anchorage Digital Bank, N.A., a federally chartered digital asset bank; the Company does not have a direct issuer redemption (mint) account and realizes U.S. dollars through its custodian. The Company does not safeguard crypto assets for platform users, GLDY token holders, or other third parties, and accordingly, under SEC Staff Accounting Bulletin No. 122, has recognized no safeguarding asset or liability.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86" w:name="xdx_80C_eus-gaap--VariableInterestEntity"/>
      <w:bookmarkEnd w:id="586"/>
      <w:r>
        <w:rPr>
          <w:rFonts w:ascii="Times New Roman;Times;Serif" w:hAnsi="Times New Roman;Times;Serif"/>
          <w:b/>
          <w:i w:val="false"/>
          <w:caps w:val="false"/>
          <w:smallCaps w:val="false"/>
          <w:sz w:val="20"/>
        </w:rPr>
        <w:t xml:space="preserve">NOTE 12 – </w:t>
      </w:r>
      <w:bookmarkStart w:id="587" w:name="xdx_820_zlzfr0jnGmvg"/>
      <w:bookmarkEnd w:id="587"/>
      <w:r>
        <w:rPr>
          <w:rFonts w:ascii="Times New Roman;Times;Serif" w:hAnsi="Times New Roman;Times;Serif"/>
          <w:b/>
          <w:i w:val="false"/>
          <w:caps w:val="false"/>
          <w:smallCaps w:val="false"/>
          <w:sz w:val="20"/>
        </w:rPr>
        <w:t xml:space="preserve">STREAMEX LTD. (VIE)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Ltd. is a special-purpose entity organized in the Cayman Islands and formed to purchase and hold physical gold and to issue digital GLDY tokens designed to provide tokenholders exposure to gold and gold-denominated leasing returns. Streamex Ltd. may also lease its gold holdings to generate gold-denominated yield. The Company is involved with Streamex Ltd. through its governance rights and through its economic interest in GLDY tokens. Streamex Ltd. pays servicing fees to GLDY ServiceCo, LLC under the applicable servicing arrangement; because the servicer is a consolidated subsidiary, these fees and related intercompany balances are eliminated in consolidation.</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Variable Interest Entity Consideration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Streamex Ltd. under the VIE model in ASC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A legal entity is a VIE if, among other conditions, the holders of the equity investment at risk, as a group, lack the power, through voting rights or similar rights, to direct the activities that most significantly impact the entity’s economic performance. Streamex Ltd. is considered a VIE because the holders of GLDY tokens, which represent non-voting participating equity interests, lack substantive voting rights and do not have the power to direct the activities that most significantly impact Streamex Ltd.’s economic performance. Voting control resides with the single voting management share, which controls shareholder-level decisions including the appointment and removal of directors, and day-to-day operating authority has been delegated to GLDY ServiceCo, LLC, a consolidated subsidiary of the Company, pursuant to a services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Primary Beneficiary Conclusion and Consolidation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it is the primary beneficiary of Streamex Ltd. and is required to consolidate it. Under ASC 810-10-25-38, a reporting entity is the primary beneficiary of a VIE only if it has both (i) the power to direct the activities that most significantly impact the VIE’s economic performance and (ii) the obligation to absorb losses or the right to receive benefits from the VIE that could potentially be significant to the VIE. The Company concluded both criteria continue to be met as of June 30, 2026 because it directs Streamex Ltd.’s economic performance through its control of the VIE’s governance structure and the servicer arrangement, and has the obligation to absorb losses or the right to receive benefits that could potentially be significant to the VIE through its economic interest in the GLDY tokens.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t>
      </w:r>
      <w:bookmarkStart w:id="588" w:name="xdx_903_eus-gaap--VariableInterestEntity"/>
      <w:bookmarkEnd w:id="588"/>
      <w:r>
        <w:rPr>
          <w:rFonts w:ascii="Times New Roman;Times;Serif" w:hAnsi="Times New Roman;Times;Serif"/>
          <w:b w:val="false"/>
          <w:i w:val="false"/>
          <w:caps w:val="false"/>
          <w:smallCaps w:val="false"/>
          <w:sz w:val="20"/>
        </w:rPr>
        <w:t>the Company held approximately 91.0% of the approximately 3,111 outstanding GLDY tokens, with the remaining approximately 9.0% held by external tokenholders. These percentages represent ownership as of the balance sheet date. Streamex Ltd.’s results are attributed between the controlling and noncontrolling interests using time-weighted ownership percentages applied to the results of each quarter — approximately 0.2102% for the three months ended March 31, 2026 and approximately 4.0250% for the three months ended June 30, 2026 — rather than by applying the period-end percentage to the full-period result. These time-weighted percentages differ from the approximately 9.0% ownership interest held at June 30, 2026 because substantially all noncontrolling interests were admitted during 2026, including significant interests issued during the latter part of the second quarter. See Note 18 — Noncontrolling Interests. The Company continued to consolidate Streamex Ltd. as of June 30, 2026 because the Company remained the primary beneficiary.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Carrying Amounts of Assets and Liabilities of Consolidated VIE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89" w:name="xdx_89B_eus-gaap--ScheduleOfVariableInte"/>
      <w:bookmarkEnd w:id="589"/>
      <w:r>
        <w:rPr>
          <w:rFonts w:ascii="Times New Roman;Times;Serif" w:hAnsi="Times New Roman;Times;Serif"/>
          <w:b w:val="false"/>
          <w:i w:val="false"/>
          <w:caps w:val="false"/>
          <w:smallCaps w:val="false"/>
          <w:sz w:val="20"/>
        </w:rPr>
        <w:t>Streamex Ltd. assets and liabilities included in the unaudited condensed consolidated balance sheet as of June 30, 2026:</w:t>
      </w:r>
    </w:p>
    <w:p>
      <w:pPr>
        <w:pStyle w:val="TextBody"/>
        <w:pBdr/>
        <w:bidi w:val="0"/>
        <w:spacing w:before="0" w:after="0"/>
        <w:ind w:left="0" w:right="0" w:hanging="0"/>
        <w:jc w:val="both"/>
        <w:rPr>
          <w:caps w:val="false"/>
          <w:smallCaps w:val="false"/>
        </w:rPr>
      </w:pPr>
      <w:r>
        <w:rPr>
          <w:caps w:val="false"/>
          <w:smallCaps w:val="false"/>
        </w:rPr>
        <w:t> </w:t>
      </w:r>
      <w:bookmarkStart w:id="590" w:name="xdx_8BE_ztb6EnvL6iok"/>
      <w:bookmarkEnd w:id="590"/>
      <w:r>
        <w:rPr>
          <w:rFonts w:ascii="Times New Roman;Times;Serif" w:hAnsi="Times New Roman;Times;Serif"/>
          <w:b w:val="false"/>
          <w:i w:val="false"/>
          <w:caps w:val="false"/>
          <w:smallCaps w:val="false"/>
          <w:sz w:val="20"/>
        </w:rPr>
        <w:t>SCHEDULE OF VAIABLE INTEREST ENTITY ASSETS AND LIABILITIES </w:t>
      </w:r>
    </w:p>
    <w:tbl>
      <w:tblPr>
        <w:tblW w:w="4800" w:type="dxa"/>
        <w:jc w:val="left"/>
        <w:tblInd w:w="0" w:type="dxa"/>
        <w:tblLayout w:type="fixed"/>
        <w:tblCellMar>
          <w:top w:w="0" w:type="dxa"/>
          <w:left w:w="0" w:type="dxa"/>
          <w:bottom w:w="0" w:type="dxa"/>
          <w:right w:w="0" w:type="dxa"/>
        </w:tblCellMar>
      </w:tblPr>
      <w:tblGrid>
        <w:gridCol w:w="3845"/>
        <w:gridCol w:w="60"/>
        <w:gridCol w:w="140"/>
        <w:gridCol w:w="680"/>
        <w:gridCol w:w="75"/>
      </w:tblGrid>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1" w:name="xdx_492_20260630__srt--ConsolidatedEntit"/>
            <w:bookmarkEnd w:id="591"/>
          </w:p>
        </w:tc>
        <w:tc>
          <w:tcPr>
            <w:tcW w:w="8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592" w:name="xdx_403_eus-gaap--AssetsAbstract_iB_zwbf"/>
            <w:bookmarkEnd w:id="592"/>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593" w:name="xdx_405_eus-gaap--OtherAssetsNoncurrent_"/>
            <w:bookmarkEnd w:id="593"/>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 held at cost – gold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15,464</w:t>
            </w:r>
          </w:p>
        </w:tc>
        <w:tc>
          <w:tcPr>
            <w:tcW w:w="75" w:type="dxa"/>
            <w:tcBorders/>
            <w:shd w:fill="FFFFFF" w:val="clear"/>
            <w:vAlign w:val="center"/>
          </w:tcPr>
          <w:p>
            <w:pPr>
              <w:pStyle w:val="TableContents"/>
              <w:bidi w:val="0"/>
              <w:spacing w:before="0" w:after="283"/>
              <w:jc w:val="left"/>
              <w:rPr/>
            </w:pPr>
            <w:r>
              <w:rPr/>
              <w:t> </w:t>
            </w:r>
            <w:bookmarkStart w:id="594" w:name="xdx_401_eus-gaap--Cash_iI_pn3n3_z4wYaX5r"/>
            <w:bookmarkEnd w:id="594"/>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75" w:type="dxa"/>
            <w:tcBorders/>
            <w:shd w:fill="CCEEFF" w:val="clear"/>
            <w:vAlign w:val="center"/>
          </w:tcPr>
          <w:p>
            <w:pPr>
              <w:pStyle w:val="TableContents"/>
              <w:bidi w:val="0"/>
              <w:spacing w:before="0" w:after="283"/>
              <w:jc w:val="left"/>
              <w:rPr/>
            </w:pPr>
            <w:r>
              <w:rPr/>
              <w:t> </w:t>
            </w:r>
            <w:bookmarkStart w:id="595" w:name="xdx_40B_eus-gaap--CryptoAssetFairValue_i"/>
            <w:bookmarkEnd w:id="595"/>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75" w:type="dxa"/>
            <w:tcBorders/>
            <w:shd w:fill="FFFFFF" w:val="clear"/>
            <w:vAlign w:val="center"/>
          </w:tcPr>
          <w:p>
            <w:pPr>
              <w:pStyle w:val="TableContents"/>
              <w:bidi w:val="0"/>
              <w:spacing w:before="0" w:after="283"/>
              <w:jc w:val="left"/>
              <w:rPr/>
            </w:pPr>
            <w:r>
              <w:rPr/>
              <w:t> </w:t>
            </w:r>
            <w:bookmarkStart w:id="596" w:name="xdx_403_eus-gaap--PrepaidExpenseCurrentA"/>
            <w:bookmarkEnd w:id="596"/>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75" w:type="dxa"/>
            <w:tcBorders/>
            <w:shd w:fill="CCEEFF" w:val="clear"/>
            <w:vAlign w:val="center"/>
          </w:tcPr>
          <w:p>
            <w:pPr>
              <w:pStyle w:val="TableContents"/>
              <w:bidi w:val="0"/>
              <w:spacing w:before="0" w:after="283"/>
              <w:jc w:val="left"/>
              <w:rPr/>
            </w:pPr>
            <w:r>
              <w:rPr/>
              <w:t> </w:t>
            </w:r>
            <w:bookmarkStart w:id="597" w:name="xdx_40D_eus-gaap--Assets_iI_pn3n3_z2fJI2"/>
            <w:bookmarkEnd w:id="597"/>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15,485</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98" w:name="xdx_40E_eus-gaap--LiabilitiesAbstract_iB"/>
            <w:bookmarkEnd w:id="598"/>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99" w:name="xdx_409_eus-gaap--AccountsPayableAndAccr"/>
            <w:bookmarkEnd w:id="599"/>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75" w:type="dxa"/>
            <w:tcBorders/>
            <w:shd w:fill="CCEEFF" w:val="clear"/>
            <w:vAlign w:val="center"/>
          </w:tcPr>
          <w:p>
            <w:pPr>
              <w:pStyle w:val="TableContents"/>
              <w:bidi w:val="0"/>
              <w:spacing w:before="0" w:after="283"/>
              <w:jc w:val="left"/>
              <w:rPr/>
            </w:pPr>
            <w:r>
              <w:rPr/>
              <w:t> </w:t>
            </w:r>
            <w:bookmarkStart w:id="600" w:name="xdx_40A_eus-gaap--Liabilities_iI_pn3n3_z"/>
            <w:bookmarkEnd w:id="600"/>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601" w:name="xdx_8A8_zsY6FqbxR3w9"/>
      <w:bookmarkEnd w:id="601"/>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Streamex Ltd. recognized net income of approximately $</w:t>
      </w:r>
      <w:bookmarkStart w:id="602" w:name="xdx_908_eus-gaap--NetIncomeLoss_pn3n3_c2"/>
      <w:bookmarkEnd w:id="602"/>
      <w:r>
        <w:rPr>
          <w:rFonts w:ascii="Times New Roman;Times;Serif" w:hAnsi="Times New Roman;Times;Serif"/>
          <w:b w:val="false"/>
          <w:i w:val="false"/>
          <w:caps w:val="false"/>
          <w:smallCaps w:val="false"/>
          <w:sz w:val="20"/>
        </w:rPr>
        <w:t>15, consisting of gross in-kind gold lease income of approximately $</w:t>
      </w:r>
      <w:bookmarkStart w:id="603" w:name="xdx_90E_ecustom--GoldLeaseIncomeInKindLe"/>
      <w:bookmarkEnd w:id="603"/>
      <w:r>
        <w:rPr>
          <w:rFonts w:ascii="Times New Roman;Times;Serif" w:hAnsi="Times New Roman;Times;Serif"/>
          <w:b w:val="false"/>
          <w:i w:val="false"/>
          <w:caps w:val="false"/>
          <w:smallCaps w:val="false"/>
          <w:sz w:val="20"/>
        </w:rPr>
        <w:t>134, a realized loss on in-kind settlements of approximately $</w:t>
      </w:r>
      <w:bookmarkStart w:id="604" w:name="xdx_906_ecustom--RealizedLossOnSettlemen"/>
      <w:bookmarkEnd w:id="604"/>
      <w:r>
        <w:rPr>
          <w:rFonts w:ascii="Times New Roman;Times;Serif" w:hAnsi="Times New Roman;Times;Serif"/>
          <w:b w:val="false"/>
          <w:i w:val="false"/>
          <w:caps w:val="false"/>
          <w:smallCaps w:val="false"/>
          <w:sz w:val="20"/>
        </w:rPr>
        <w:t>3, and operating expenses of approximately $</w:t>
      </w:r>
      <w:bookmarkStart w:id="605" w:name="xdx_90B_eus-gaap--OperatingExpenses_pn3n"/>
      <w:bookmarkEnd w:id="605"/>
      <w:r>
        <w:rPr>
          <w:rFonts w:ascii="Times New Roman;Times;Serif" w:hAnsi="Times New Roman;Times;Serif"/>
          <w:b w:val="false"/>
          <w:i w:val="false"/>
          <w:caps w:val="false"/>
          <w:smallCaps w:val="false"/>
          <w:sz w:val="20"/>
        </w:rPr>
        <w:t>116, primarily consisting of statutory administration, legal and audit fees associated with its formation and ongoing maintenance as a Cayman Islands entity.</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Streamex Ltd. incurred a net loss of approximately $</w:t>
      </w:r>
      <w:bookmarkStart w:id="606" w:name="xdx_909_eus-gaap--NetIncomeLoss_pn3n3_c2"/>
      <w:bookmarkEnd w:id="606"/>
      <w:r>
        <w:rPr>
          <w:rFonts w:ascii="Times New Roman;Times;Serif" w:hAnsi="Times New Roman;Times;Serif"/>
          <w:b w:val="false"/>
          <w:i w:val="false"/>
          <w:caps w:val="false"/>
          <w:smallCaps w:val="false"/>
          <w:sz w:val="20"/>
        </w:rPr>
        <w:t>140, consisting of gross in-kind gold lease income of approximately $</w:t>
      </w:r>
      <w:bookmarkStart w:id="607" w:name="xdx_90F_ecustom--GoldLeaseIncomeInKindLe"/>
      <w:bookmarkEnd w:id="607"/>
      <w:r>
        <w:rPr>
          <w:rFonts w:ascii="Times New Roman;Times;Serif" w:hAnsi="Times New Roman;Times;Serif"/>
          <w:b w:val="false"/>
          <w:i w:val="false"/>
          <w:caps w:val="false"/>
          <w:smallCaps w:val="false"/>
          <w:sz w:val="20"/>
        </w:rPr>
        <w:t>134, substantially all of which was recognized during the three months ended June 30, 2026, a realized loss on in-kind settlements of approximately $</w:t>
      </w:r>
      <w:bookmarkStart w:id="608" w:name="xdx_908_ecustom--RealizedLossOnSettlemen"/>
      <w:bookmarkEnd w:id="608"/>
      <w:r>
        <w:rPr>
          <w:rFonts w:ascii="Times New Roman;Times;Serif" w:hAnsi="Times New Roman;Times;Serif"/>
          <w:b w:val="false"/>
          <w:i w:val="false"/>
          <w:caps w:val="false"/>
          <w:smallCaps w:val="false"/>
          <w:sz w:val="20"/>
        </w:rPr>
        <w:t>3, and operating expenses of approximately $</w:t>
      </w:r>
      <w:bookmarkStart w:id="609" w:name="xdx_909_eus-gaap--OperatingExpenses_pn3n"/>
      <w:bookmarkEnd w:id="609"/>
      <w:r>
        <w:rPr>
          <w:rFonts w:ascii="Times New Roman;Times;Serif" w:hAnsi="Times New Roman;Times;Serif"/>
          <w:b w:val="false"/>
          <w:i w:val="false"/>
          <w:caps w:val="false"/>
          <w:smallCaps w:val="false"/>
          <w:sz w:val="20"/>
        </w:rPr>
        <w:t>271. These amounts form the basis for the allocation of Streamex Ltd.’s net income or loss to the noncontrolling interest described in Note 18 —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transferred GLDY tokens to Metalayer in exchange for approximately $</w:t>
      </w:r>
      <w:bookmarkStart w:id="610" w:name="xdx_906_ecustom--ExchangeDigitalAssets_p"/>
      <w:bookmarkEnd w:id="610"/>
      <w:r>
        <w:rPr>
          <w:rFonts w:ascii="Times New Roman;Times;Serif" w:hAnsi="Times New Roman;Times;Serif"/>
          <w:b w:val="false"/>
          <w:i w:val="false"/>
          <w:caps w:val="false"/>
          <w:smallCaps w:val="false"/>
          <w:sz w:val="20"/>
        </w:rPr>
        <w:t>1,000 of USDC digital assets. This transaction was separate from the Company’s $</w:t>
      </w:r>
      <w:bookmarkStart w:id="611" w:name="xdx_90F_eus-gaap--OtherInvestments_iI_pn"/>
      <w:bookmarkEnd w:id="611"/>
      <w:r>
        <w:rPr>
          <w:rFonts w:ascii="Times New Roman;Times;Serif" w:hAnsi="Times New Roman;Times;Serif"/>
          <w:b w:val="false"/>
          <w:i w:val="false"/>
          <w:caps w:val="false"/>
          <w:smallCaps w:val="false"/>
          <w:sz w:val="20"/>
        </w:rPr>
        <w:t>2,000 investment in Class A-1 shares of Metalayer, which was funded entirely in USDC digital assets as described in Note 9 — Investment Measured at NAV.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GLDY token transfer reduced the Company’s ownership interest in Streamex Ltd. but did not result in a loss of control. Accordingly, the Company accounted for the transaction as a change in ownership interest in a consolidated subsidiary under ASC 810-10-45-23. The carrying amount of the noncontrolling interest increased by approximately $</w:t>
      </w:r>
      <w:bookmarkStart w:id="612" w:name="xdx_902_eus-gaap--MinorityInterestPeriod"/>
      <w:bookmarkEnd w:id="612"/>
      <w:r>
        <w:rPr>
          <w:rFonts w:ascii="Times New Roman;Times;Serif" w:hAnsi="Times New Roman;Times;Serif"/>
          <w:b w:val="false"/>
          <w:i w:val="false"/>
          <w:caps w:val="false"/>
          <w:smallCaps w:val="false"/>
          <w:sz w:val="20"/>
        </w:rPr>
        <w:t>1,120, and the approximately $</w:t>
      </w:r>
      <w:bookmarkStart w:id="613" w:name="xdx_907_eus-gaap--OtherMinorityInterests"/>
      <w:bookmarkEnd w:id="613"/>
      <w:r>
        <w:rPr>
          <w:rFonts w:ascii="Times New Roman;Times;Serif" w:hAnsi="Times New Roman;Times;Serif"/>
          <w:b w:val="false"/>
          <w:i w:val="false"/>
          <w:caps w:val="false"/>
          <w:smallCaps w:val="false"/>
          <w:sz w:val="20"/>
        </w:rPr>
        <w:t>120 excess of the increase in the noncontrolling interest over the consideration received was recognized as a reduction of additional paid-in capital attributable to the Company. These amounts are reflected in the unaudited condensed consolidated statement of changes in stockholders’ equity for the six months ended June 30, 2026. See Note 18 —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Lack of Recourse /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of Streamex Ltd. are generally not available to satisfy the obligations of the Company or its other subsidiaries, and the creditors and tokenholders of Streamex Ltd. generally do not have recourse to the general credit of the Company beyond the assets of Streamex Ltd., except to the limited extent of intercompany balances eliminated in consolidation. The liabilities recognized as a result of consolidating Streamex Ltd. do not represent additional claims on the Company’s general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Maximum Exposure to Loss / Financial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maximum exposure to loss associated with its involvement with Streamex Ltd. as of June 30, 2026 is limited to the carrying amount of its economic interest in the GLDY tokens and its net interest in Streamex Ltd.’s net assets. The Company has no arrangements that legally obligate it to provide additional financial support to Streamex Ltd., such as guarantees or liquidity facilities, beyond its role as an investor and service provider, although the Company funds Streamex Ltd.’s operating expenses through capital contributions, which are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in Streamex Ltd. consist of the single voting management share, which carries governance rights but no material economic interest, and GLDY tokens held by external tokenholders. See Note 18 — Noncontrolling Interest for the carrying amount of, and rollforward of activity in, the noncontrolling interest attributable to Streamex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Ongoing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reassesses its primary beneficiary conclusion on an ongoing basis in accordance with ASC 810 whenever changes in facts and circumstances occur that could affect whether either criterion under ASC 810 continues to be met, including changes in GLDY token ownership, modifications of governing documents or fee arrangements, changes in ownership of the management share, or replacement of the affiliated servicer by an unrelated party. As of June 30, 2026, no changes in facts or circumstances have occurred that would alter the Company’s conclusion.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4" w:name="xdx_80C_eus-gaap--AccountsPayableAndAccr"/>
      <w:bookmarkEnd w:id="614"/>
      <w:r>
        <w:rPr>
          <w:rFonts w:ascii="Times New Roman;Times;Serif" w:hAnsi="Times New Roman;Times;Serif"/>
          <w:b/>
          <w:i w:val="false"/>
          <w:caps w:val="false"/>
          <w:smallCaps w:val="false"/>
          <w:sz w:val="20"/>
        </w:rPr>
        <w:t>NOTE 13</w:t>
      </w:r>
      <w:r>
        <w:rPr>
          <w:rFonts w:ascii="Times New Roman;Times;Serif" w:hAnsi="Times New Roman;Times;Serif"/>
          <w:b w:val="false"/>
          <w:i w:val="false"/>
          <w:caps w:val="false"/>
          <w:smallCaps w:val="false"/>
          <w:sz w:val="20"/>
        </w:rPr>
        <w:t xml:space="preserve"> – </w:t>
      </w:r>
      <w:bookmarkStart w:id="615" w:name="xdx_826_zkqgJdjanAS5"/>
      <w:bookmarkEnd w:id="615"/>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6" w:name="xdx_894_eus-gaap--ScheduleOfAccountsPaya"/>
      <w:bookmarkEnd w:id="616"/>
      <w:r>
        <w:rPr>
          <w:rFonts w:ascii="Times New Roman;Times;Serif" w:hAnsi="Times New Roman;Times;Serif"/>
          <w:b w:val="false"/>
          <w:i w:val="false"/>
          <w:caps w:val="false"/>
          <w:smallCaps w:val="false"/>
          <w:sz w:val="20"/>
        </w:rPr>
        <w:t>Accounts payable and accrued expenses as of the reporting dates, consist of the following:</w:t>
      </w:r>
    </w:p>
    <w:p>
      <w:pPr>
        <w:pStyle w:val="TextBody"/>
        <w:bidi w:val="0"/>
        <w:spacing w:before="0" w:after="0"/>
        <w:ind w:left="0" w:right="0" w:hanging="0"/>
        <w:jc w:val="both"/>
        <w:rPr>
          <w:caps w:val="false"/>
          <w:smallCaps w:val="false"/>
        </w:rPr>
      </w:pPr>
      <w:r>
        <w:rPr>
          <w:caps w:val="false"/>
          <w:smallCaps w:val="false"/>
        </w:rPr>
        <w:t> </w:t>
      </w:r>
      <w:bookmarkStart w:id="617" w:name="xdx_8B7_z2JBgp6ePGae"/>
      <w:bookmarkEnd w:id="617"/>
      <w:r>
        <w:rPr>
          <w:rFonts w:ascii="Times New Roman;Times;Serif" w:hAnsi="Times New Roman;Times;Serif"/>
          <w:b w:val="false"/>
          <w:i w:val="false"/>
          <w:caps w:val="false"/>
          <w:smallCaps w:val="false"/>
          <w:sz w:val="20"/>
        </w:rPr>
        <w:t>SCHEDULE OF ACCOUNTS PAYABLE AND ACCRUED EXPENSE </w:t>
      </w:r>
    </w:p>
    <w:tbl>
      <w:tblPr>
        <w:tblW w:w="6195" w:type="dxa"/>
        <w:jc w:val="left"/>
        <w:tblInd w:w="0" w:type="dxa"/>
        <w:tblLayout w:type="fixed"/>
        <w:tblCellMar>
          <w:top w:w="0" w:type="dxa"/>
          <w:left w:w="0" w:type="dxa"/>
          <w:bottom w:w="0" w:type="dxa"/>
          <w:right w:w="0" w:type="dxa"/>
        </w:tblCellMar>
      </w:tblPr>
      <w:tblGrid>
        <w:gridCol w:w="3650"/>
        <w:gridCol w:w="60"/>
        <w:gridCol w:w="175"/>
        <w:gridCol w:w="700"/>
        <w:gridCol w:w="60"/>
        <w:gridCol w:w="60"/>
        <w:gridCol w:w="283"/>
        <w:gridCol w:w="1132"/>
        <w:gridCol w:w="75"/>
      </w:tblGrid>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18" w:name="xdx_498_20260630_zlOpz8gmJuk1"/>
            <w:bookmarkEnd w:id="618"/>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9" w:name="xdx_49B_20251231_zviDITJltmf"/>
            <w:bookmarkEnd w:id="619"/>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620" w:name="xdx_402_eus-gaap--AccruedProfessionalFee"/>
            <w:bookmarkEnd w:id="620"/>
          </w:p>
        </w:tc>
      </w:tr>
      <w:tr>
        <w:trPr/>
        <w:tc>
          <w:tcPr>
            <w:tcW w:w="3650" w:type="dxa"/>
            <w:tcBorders/>
            <w:shd w:fill="CCEEFF" w:val="clear"/>
            <w:vAlign w:val="center"/>
          </w:tcPr>
          <w:p>
            <w:pPr>
              <w:pStyle w:val="TableContents"/>
              <w:bidi w:val="0"/>
              <w:spacing w:before="0" w:after="283"/>
              <w:jc w:val="left"/>
              <w:rPr/>
            </w:pPr>
            <w:r>
              <w:rPr/>
              <w:t>Accrued accounting and legal</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705</w:t>
            </w:r>
          </w:p>
        </w:tc>
        <w:tc>
          <w:tcPr>
            <w:tcW w:w="75" w:type="dxa"/>
            <w:tcBorders/>
            <w:shd w:fill="CCEEFF" w:val="clear"/>
            <w:vAlign w:val="center"/>
          </w:tcPr>
          <w:p>
            <w:pPr>
              <w:pStyle w:val="TableContents"/>
              <w:bidi w:val="0"/>
              <w:spacing w:before="0" w:after="283"/>
              <w:jc w:val="left"/>
              <w:rPr/>
            </w:pPr>
            <w:r>
              <w:rPr/>
              <w:t> </w:t>
            </w:r>
            <w:bookmarkStart w:id="621" w:name="xdx_406_ecustom--AccruedConsultingCurren"/>
            <w:bookmarkEnd w:id="621"/>
          </w:p>
        </w:tc>
      </w:tr>
      <w:tr>
        <w:trPr/>
        <w:tc>
          <w:tcPr>
            <w:tcW w:w="3650" w:type="dxa"/>
            <w:tcBorders/>
            <w:shd w:fill="FFFFFF" w:val="clear"/>
            <w:vAlign w:val="center"/>
          </w:tcPr>
          <w:p>
            <w:pPr>
              <w:pStyle w:val="TableContents"/>
              <w:bidi w:val="0"/>
              <w:spacing w:before="0" w:after="283"/>
              <w:jc w:val="left"/>
              <w:rPr/>
            </w:pPr>
            <w:r>
              <w:rPr/>
              <w:t>Accrued consulting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575</w:t>
            </w:r>
          </w:p>
        </w:tc>
        <w:tc>
          <w:tcPr>
            <w:tcW w:w="75" w:type="dxa"/>
            <w:tcBorders/>
            <w:shd w:fill="FFFFFF" w:val="clear"/>
            <w:vAlign w:val="center"/>
          </w:tcPr>
          <w:p>
            <w:pPr>
              <w:pStyle w:val="TableContents"/>
              <w:bidi w:val="0"/>
              <w:spacing w:before="0" w:after="283"/>
              <w:jc w:val="left"/>
              <w:rPr/>
            </w:pPr>
            <w:r>
              <w:rPr/>
              <w:t> </w:t>
            </w:r>
            <w:bookmarkStart w:id="622" w:name="xdx_404_ecustom--AccruedInterestCurrent_"/>
            <w:bookmarkEnd w:id="622"/>
          </w:p>
        </w:tc>
      </w:tr>
      <w:tr>
        <w:trPr/>
        <w:tc>
          <w:tcPr>
            <w:tcW w:w="3650"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200</w:t>
            </w:r>
          </w:p>
        </w:tc>
        <w:tc>
          <w:tcPr>
            <w:tcW w:w="75" w:type="dxa"/>
            <w:tcBorders/>
            <w:shd w:fill="CCEEFF" w:val="clear"/>
            <w:vAlign w:val="center"/>
          </w:tcPr>
          <w:p>
            <w:pPr>
              <w:pStyle w:val="TableContents"/>
              <w:bidi w:val="0"/>
              <w:spacing w:before="0" w:after="283"/>
              <w:jc w:val="left"/>
              <w:rPr/>
            </w:pPr>
            <w:r>
              <w:rPr/>
              <w:t> </w:t>
            </w:r>
            <w:bookmarkStart w:id="623" w:name="xdx_406_ecustom--AccruedOfficeExpenseAnd"/>
            <w:bookmarkEnd w:id="623"/>
          </w:p>
        </w:tc>
      </w:tr>
      <w:tr>
        <w:trPr/>
        <w:tc>
          <w:tcPr>
            <w:tcW w:w="3650" w:type="dxa"/>
            <w:tcBorders/>
            <w:shd w:fill="FFFFFF" w:val="clear"/>
            <w:vAlign w:val="center"/>
          </w:tcPr>
          <w:p>
            <w:pPr>
              <w:pStyle w:val="TableContents"/>
              <w:bidi w:val="0"/>
              <w:spacing w:before="0" w:after="283"/>
              <w:jc w:val="left"/>
              <w:rPr/>
            </w:pPr>
            <w:r>
              <w:rPr/>
              <w:t>Accrued office and other</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38</w:t>
            </w:r>
          </w:p>
        </w:tc>
        <w:tc>
          <w:tcPr>
            <w:tcW w:w="75" w:type="dxa"/>
            <w:tcBorders/>
            <w:shd w:fill="FFFFFF" w:val="clear"/>
            <w:vAlign w:val="center"/>
          </w:tcPr>
          <w:p>
            <w:pPr>
              <w:pStyle w:val="TableContents"/>
              <w:bidi w:val="0"/>
              <w:spacing w:before="0" w:after="283"/>
              <w:jc w:val="left"/>
              <w:rPr/>
            </w:pPr>
            <w:r>
              <w:rPr/>
              <w:t> </w:t>
            </w:r>
            <w:bookmarkStart w:id="624" w:name="xdx_404_ecustom--AccruedInsurancePremium"/>
            <w:bookmarkEnd w:id="624"/>
          </w:p>
        </w:tc>
      </w:tr>
      <w:tr>
        <w:trPr/>
        <w:tc>
          <w:tcPr>
            <w:tcW w:w="3650" w:type="dxa"/>
            <w:tcBorders/>
            <w:shd w:fill="CCEEFF" w:val="clear"/>
            <w:vAlign w:val="center"/>
          </w:tcPr>
          <w:p>
            <w:pPr>
              <w:pStyle w:val="TableContents"/>
              <w:bidi w:val="0"/>
              <w:spacing w:before="0" w:after="283"/>
              <w:jc w:val="left"/>
              <w:rPr/>
            </w:pPr>
            <w:r>
              <w:rPr/>
              <w:t>Accrued insurance premium financing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916</w:t>
            </w:r>
          </w:p>
        </w:tc>
        <w:tc>
          <w:tcPr>
            <w:tcW w:w="75" w:type="dxa"/>
            <w:tcBorders/>
            <w:shd w:fill="CCEEFF" w:val="clear"/>
            <w:vAlign w:val="center"/>
          </w:tcPr>
          <w:p>
            <w:pPr>
              <w:pStyle w:val="TableContents"/>
              <w:bidi w:val="0"/>
              <w:spacing w:before="0" w:after="283"/>
              <w:jc w:val="left"/>
              <w:rPr/>
            </w:pPr>
            <w:r>
              <w:rPr/>
              <w:t> </w:t>
            </w:r>
            <w:bookmarkStart w:id="625" w:name="xdx_40B_eus-gaap--AccruedSalariesCurrent"/>
            <w:bookmarkEnd w:id="625"/>
          </w:p>
        </w:tc>
      </w:tr>
      <w:tr>
        <w:trPr/>
        <w:tc>
          <w:tcPr>
            <w:tcW w:w="3650" w:type="dxa"/>
            <w:tcBorders/>
            <w:shd w:fill="FFFFFF" w:val="clear"/>
            <w:vAlign w:val="center"/>
          </w:tcPr>
          <w:p>
            <w:pPr>
              <w:pStyle w:val="TableContents"/>
              <w:bidi w:val="0"/>
              <w:spacing w:before="0" w:after="283"/>
              <w:jc w:val="left"/>
              <w:rPr/>
            </w:pPr>
            <w:r>
              <w:rPr/>
              <w:t>Accrued payroll</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512</w:t>
            </w:r>
          </w:p>
        </w:tc>
        <w:tc>
          <w:tcPr>
            <w:tcW w:w="75" w:type="dxa"/>
            <w:tcBorders/>
            <w:shd w:fill="FFFFFF" w:val="clear"/>
            <w:vAlign w:val="center"/>
          </w:tcPr>
          <w:p>
            <w:pPr>
              <w:pStyle w:val="TableContents"/>
              <w:bidi w:val="0"/>
              <w:spacing w:before="0" w:after="283"/>
              <w:jc w:val="left"/>
              <w:rPr/>
            </w:pPr>
            <w:r>
              <w:rPr/>
              <w:t> </w:t>
            </w:r>
            <w:bookmarkStart w:id="626" w:name="xdx_402_eus-gaap--OtherAccruedLiabilitie"/>
            <w:bookmarkEnd w:id="626"/>
          </w:p>
        </w:tc>
      </w:tr>
      <w:tr>
        <w:trPr/>
        <w:tc>
          <w:tcPr>
            <w:tcW w:w="3650" w:type="dxa"/>
            <w:tcBorders/>
            <w:shd w:fill="CCEEFF" w:val="clear"/>
            <w:vAlign w:val="center"/>
          </w:tcPr>
          <w:p>
            <w:pPr>
              <w:pStyle w:val="TableContents"/>
              <w:bidi w:val="0"/>
              <w:spacing w:before="0" w:after="283"/>
              <w:jc w:val="left"/>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bookmarkStart w:id="627" w:name="xdx_402_eus-gaap--AccountsPayableAndAccr"/>
            <w:bookmarkEnd w:id="627"/>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1,455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2,952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8" w:name="xdx_8A8_zGVh751hjcT2"/>
      <w:bookmarkEnd w:id="62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9" w:name="xdx_80B_eus-gaap--FairValueDisclosuresTe"/>
      <w:bookmarkEnd w:id="629"/>
      <w:r>
        <w:rPr>
          <w:rFonts w:ascii="Times New Roman;Times;Serif" w:hAnsi="Times New Roman;Times;Serif"/>
          <w:b/>
          <w:i w:val="false"/>
          <w:caps w:val="false"/>
          <w:smallCaps w:val="false"/>
          <w:sz w:val="20"/>
        </w:rPr>
        <w:t xml:space="preserve">NOTE 14 – </w:t>
      </w:r>
      <w:bookmarkStart w:id="630" w:name="xdx_827_zHadWdZOChog"/>
      <w:bookmarkEnd w:id="630"/>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which establishes a three-level hierarchy based on the observability of valuation inputs: Level 1 — quoted prices in active markets for identical assets or liabilities; Level 2 — observable inputs other than Level 1 quoted prices; Level 3 —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Recurring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1" w:name="xdx_894_eus-gaap--FairValueLiabilitiesMe"/>
      <w:bookmarkEnd w:id="631"/>
      <w:r>
        <w:rPr>
          <w:rFonts w:ascii="Times New Roman;Times;Serif" w:hAnsi="Times New Roman;Times;Serif"/>
          <w:b w:val="false"/>
          <w:i w:val="false"/>
          <w:caps w:val="false"/>
          <w:smallCaps w:val="false"/>
          <w:sz w:val="20"/>
        </w:rPr>
        <w:t>The following table presents the Company’s financial assets and liabilities measured at fair value on a recurring basis, by level within the fair value hierarchy:</w:t>
      </w:r>
    </w:p>
    <w:p>
      <w:pPr>
        <w:pStyle w:val="TextBody"/>
        <w:bidi w:val="0"/>
        <w:spacing w:before="0" w:after="0"/>
        <w:ind w:left="0" w:right="0" w:hanging="0"/>
        <w:jc w:val="both"/>
        <w:rPr>
          <w:caps w:val="false"/>
          <w:smallCaps w:val="false"/>
        </w:rPr>
      </w:pPr>
      <w:r>
        <w:rPr>
          <w:caps w:val="false"/>
          <w:smallCaps w:val="false"/>
        </w:rPr>
        <w:t> </w:t>
      </w:r>
      <w:bookmarkStart w:id="632" w:name="xdx_8B1_zoRAXGL3OAAe"/>
      <w:bookmarkEnd w:id="632"/>
      <w:r>
        <w:rPr>
          <w:rFonts w:ascii="Times New Roman;Times;Serif" w:hAnsi="Times New Roman;Times;Serif"/>
          <w:b w:val="false"/>
          <w:i w:val="false"/>
          <w:caps w:val="false"/>
          <w:smallCaps w:val="false"/>
          <w:sz w:val="20"/>
        </w:rPr>
        <w:t>SCHEDULE OF RECURRING BASIS FAIR VALUE MEASUREMENTS </w:t>
      </w:r>
    </w:p>
    <w:tbl>
      <w:tblPr>
        <w:tblW w:w="9484" w:type="dxa"/>
        <w:jc w:val="left"/>
        <w:tblInd w:w="0" w:type="dxa"/>
        <w:tblLayout w:type="fixed"/>
        <w:tblCellMar>
          <w:top w:w="0" w:type="dxa"/>
          <w:left w:w="0" w:type="dxa"/>
          <w:bottom w:w="28" w:type="dxa"/>
          <w:right w:w="0" w:type="dxa"/>
        </w:tblCellMar>
      </w:tblPr>
      <w:tblGrid>
        <w:gridCol w:w="5225"/>
        <w:gridCol w:w="60"/>
        <w:gridCol w:w="575"/>
        <w:gridCol w:w="60"/>
        <w:gridCol w:w="241"/>
        <w:gridCol w:w="1173"/>
        <w:gridCol w:w="60"/>
        <w:gridCol w:w="60"/>
        <w:gridCol w:w="391"/>
        <w:gridCol w:w="1564"/>
        <w:gridCol w:w="75"/>
      </w:tblGrid>
      <w:tr>
        <w:trPr/>
        <w:tc>
          <w:tcPr>
            <w:tcW w:w="5225" w:type="dxa"/>
            <w:tcBorders>
              <w:bottom w:val="single" w:sz="8" w:space="0" w:color="000000"/>
            </w:tcBorders>
            <w:vAlign w:val="center"/>
          </w:tcPr>
          <w:p>
            <w:pPr>
              <w:pStyle w:val="TableContents"/>
              <w:bidi w:val="0"/>
              <w:spacing w:before="0" w:after="283"/>
              <w:jc w:val="center"/>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b/>
              </w:rPr>
            </w:pPr>
            <w:r>
              <w:rPr>
                <w:b/>
              </w:rPr>
              <w:t>Level</w:t>
            </w:r>
          </w:p>
        </w:tc>
        <w:tc>
          <w:tcPr>
            <w:tcW w:w="60" w:type="dxa"/>
            <w:tcBorders/>
            <w:tcMar>
              <w:bottom w:w="0" w:type="dxa"/>
            </w:tcMar>
            <w:vAlign w:val="center"/>
          </w:tcPr>
          <w:p>
            <w:pPr>
              <w:pStyle w:val="TableContents"/>
              <w:bidi w:val="0"/>
              <w:spacing w:before="0" w:after="283"/>
              <w:jc w:val="left"/>
              <w:rPr/>
            </w:pPr>
            <w:r>
              <w:rPr/>
              <w:t> </w:t>
            </w:r>
            <w:bookmarkStart w:id="633" w:name="xdx_49F_20260630_zPc8VnRJC9ib"/>
            <w:bookmarkEnd w:id="633"/>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34" w:name="xdx_49F_20251231_zidBY50JOqz5"/>
            <w:bookmarkEnd w:id="634"/>
          </w:p>
        </w:tc>
        <w:tc>
          <w:tcPr>
            <w:tcW w:w="1955"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75" w:type="dxa"/>
            <w:tcBorders/>
            <w:tcMar>
              <w:bottom w:w="0" w:type="dxa"/>
            </w:tcMar>
            <w:vAlign w:val="center"/>
          </w:tcPr>
          <w:p>
            <w:pPr>
              <w:pStyle w:val="TableContents"/>
              <w:bidi w:val="0"/>
              <w:spacing w:before="0" w:after="283"/>
              <w:jc w:val="left"/>
              <w:rPr/>
            </w:pPr>
            <w:r>
              <w:rPr/>
              <w:t> </w:t>
            </w:r>
            <w:bookmarkStart w:id="635" w:name="xdx_40B_eus-gaap--MarketableSecurities_i"/>
            <w:bookmarkEnd w:id="635"/>
          </w:p>
        </w:tc>
      </w:tr>
      <w:tr>
        <w:trPr/>
        <w:tc>
          <w:tcPr>
            <w:tcW w:w="5225" w:type="dxa"/>
            <w:tcBorders/>
            <w:shd w:fill="CCEEFF" w:val="clear"/>
            <w:tcMar>
              <w:bottom w:w="0" w:type="dxa"/>
            </w:tcMar>
            <w:vAlign w:val="center"/>
          </w:tcPr>
          <w:p>
            <w:pPr>
              <w:pStyle w:val="TableContents"/>
              <w:bidi w:val="0"/>
              <w:spacing w:before="0" w:after="283"/>
              <w:jc w:val="left"/>
              <w:rPr/>
            </w:pPr>
            <w:r>
              <w:rPr/>
              <w:t>Marketable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w:t>
            </w:r>
          </w:p>
        </w:tc>
        <w:tc>
          <w:tcPr>
            <w:tcW w:w="1173" w:type="dxa"/>
            <w:tcBorders/>
            <w:shd w:fill="CCEEFF" w:val="clear"/>
            <w:tcMar>
              <w:bottom w:w="0" w:type="dxa"/>
            </w:tcMar>
            <w:vAlign w:val="center"/>
          </w:tcPr>
          <w:p>
            <w:pPr>
              <w:pStyle w:val="TableContents"/>
              <w:bidi w:val="0"/>
              <w:spacing w:before="0" w:after="283"/>
              <w:jc w:val="right"/>
              <w:rPr/>
            </w:pPr>
            <w:r>
              <w:rPr/>
              <w:t>12,861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right"/>
              <w:rPr/>
            </w:pPr>
            <w:r>
              <w:rPr/>
              <w:t>9,706</w:t>
            </w:r>
          </w:p>
        </w:tc>
        <w:tc>
          <w:tcPr>
            <w:tcW w:w="75" w:type="dxa"/>
            <w:tcBorders/>
            <w:shd w:fill="CCEEFF" w:val="clear"/>
            <w:tcMar>
              <w:bottom w:w="0" w:type="dxa"/>
            </w:tcMar>
            <w:vAlign w:val="center"/>
          </w:tcPr>
          <w:p>
            <w:pPr>
              <w:pStyle w:val="TableContents"/>
              <w:bidi w:val="0"/>
              <w:spacing w:before="0" w:after="283"/>
              <w:jc w:val="left"/>
              <w:rPr/>
            </w:pPr>
            <w:r>
              <w:rPr/>
              <w:t> </w:t>
            </w:r>
            <w:bookmarkStart w:id="636" w:name="xdx_400_eus-gaap--EmbeddedDerivativeFair"/>
            <w:bookmarkEnd w:id="636"/>
          </w:p>
        </w:tc>
      </w:tr>
      <w:tr>
        <w:trPr/>
        <w:tc>
          <w:tcPr>
            <w:tcW w:w="5225" w:type="dxa"/>
            <w:tcBorders/>
            <w:shd w:fill="FFFFFF" w:val="clear"/>
            <w:tcMar>
              <w:bottom w:w="0" w:type="dxa"/>
            </w:tcMar>
            <w:vAlign w:val="center"/>
          </w:tcPr>
          <w:p>
            <w:pPr>
              <w:pStyle w:val="TableContents"/>
              <w:bidi w:val="0"/>
              <w:spacing w:before="0" w:after="283"/>
              <w:jc w:val="left"/>
              <w:rPr/>
            </w:pPr>
            <w:r>
              <w:rPr/>
              <w:t>Embedded derivative liabilities – Yorkville Debentures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w:t>
            </w:r>
          </w:p>
        </w:tc>
        <w:tc>
          <w:tcPr>
            <w:tcW w:w="11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w:t>
            </w:r>
          </w:p>
        </w:tc>
        <w:tc>
          <w:tcPr>
            <w:tcW w:w="1564" w:type="dxa"/>
            <w:tcBorders/>
            <w:shd w:fill="FFFFFF" w:val="clear"/>
            <w:tcMar>
              <w:bottom w:w="0" w:type="dxa"/>
            </w:tcMar>
            <w:vAlign w:val="center"/>
          </w:tcPr>
          <w:p>
            <w:pPr>
              <w:pStyle w:val="TableContents"/>
              <w:bidi w:val="0"/>
              <w:spacing w:before="0" w:after="283"/>
              <w:jc w:val="right"/>
              <w:rPr/>
            </w:pPr>
            <w:r>
              <w:rPr/>
              <w:t>1,700</w:t>
            </w:r>
          </w:p>
        </w:tc>
        <w:tc>
          <w:tcPr>
            <w:tcW w:w="75" w:type="dxa"/>
            <w:tcBorders/>
            <w:shd w:fill="FFFFFF" w:val="clear"/>
            <w:tcMar>
              <w:bottom w:w="0" w:type="dxa"/>
            </w:tcMar>
            <w:vAlign w:val="center"/>
          </w:tcPr>
          <w:p>
            <w:pPr>
              <w:pStyle w:val="TableContents"/>
              <w:bidi w:val="0"/>
              <w:spacing w:before="0" w:after="283"/>
              <w:jc w:val="left"/>
              <w:rPr/>
            </w:pPr>
            <w:r>
              <w:rPr/>
              <w:t> </w:t>
            </w:r>
            <w:bookmarkStart w:id="637" w:name="xdx_402_ecustom--InvestmentMeasuredAtNet"/>
            <w:bookmarkEnd w:id="637"/>
          </w:p>
        </w:tc>
      </w:tr>
      <w:tr>
        <w:trPr/>
        <w:tc>
          <w:tcPr>
            <w:tcW w:w="5225" w:type="dxa"/>
            <w:tcBorders/>
            <w:shd w:fill="CCEEFF" w:val="clear"/>
            <w:tcMar>
              <w:bottom w:w="0" w:type="dxa"/>
            </w:tcMar>
            <w:vAlign w:val="center"/>
          </w:tcPr>
          <w:p>
            <w:pPr>
              <w:pStyle w:val="TableContents"/>
              <w:bidi w:val="0"/>
              <w:spacing w:before="0" w:after="283"/>
              <w:jc w:val="left"/>
              <w:rPr/>
            </w:pPr>
            <w:r>
              <w:rPr/>
              <w:t>Investment measured at NAV as a practical expedient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w:t>
            </w:r>
          </w:p>
        </w:tc>
        <w:tc>
          <w:tcPr>
            <w:tcW w:w="1173" w:type="dxa"/>
            <w:tcBorders/>
            <w:shd w:fill="CCEEFF" w:val="clear"/>
            <w:tcMar>
              <w:bottom w:w="0" w:type="dxa"/>
            </w:tcMar>
            <w:vAlign w:val="center"/>
          </w:tcPr>
          <w:p>
            <w:pPr>
              <w:pStyle w:val="TableContents"/>
              <w:bidi w:val="0"/>
              <w:spacing w:before="0" w:after="283"/>
              <w:jc w:val="right"/>
              <w:rPr/>
            </w:pPr>
            <w:r>
              <w:rPr/>
              <w:t>1,828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8" w:name="xdx_8A8_zKT1AIjXynlh"/>
      <w:bookmarkEnd w:id="63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are valued using unadjusted quoted prices in active markets (Level 1). Empress Royalty Corp. was valued using quoted prices on the TSX Venture Exchange, its principal market, translated to U.S. dollars at the spot exchange rate. Exchange-traded funds holding short-term U.S. Treasury and investment-grade corporate debt instruments were valued using quoted prices in active markets. See Note 8 — Marketable Securities. There were no transfers between Level 1 and Level 2 of the fair value hierarchy during the three or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Embedded Derivative Liability — Settled Convertible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embedded conversion options in the Company’s secured convertible debentures were bifurcated as derivative liabilities under ASC 815 and measured at fair value on a recurring basis using significant unobservable inputs (Level 3). The debentures and the related derivative were fully settled on February 6, 2026. See Note 22 — Convertible Debentures and Related Derivative Instruments.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9" w:name="xdx_8B1_zgltTBFFwEa8"/>
      <w:bookmarkStart w:id="640" w:name="xdx_896_ecustom--ScheduleOfEffectOfSigni"/>
      <w:bookmarkEnd w:id="639"/>
      <w:bookmarkEnd w:id="640"/>
      <w:r>
        <w:rPr>
          <w:rFonts w:ascii="Times New Roman;Times;Serif" w:hAnsi="Times New Roman;Times;Serif"/>
          <w:b w:val="false"/>
          <w:i w:val="false"/>
          <w:caps w:val="false"/>
          <w:smallCaps w:val="false"/>
          <w:sz w:val="20"/>
        </w:rPr>
        <w:t>SCHEDULE OF UNOBSERVABLE INPUT</w:t>
      </w:r>
    </w:p>
    <w:tbl>
      <w:tblPr>
        <w:tblW w:w="7105" w:type="dxa"/>
        <w:jc w:val="left"/>
        <w:tblInd w:w="0" w:type="dxa"/>
        <w:tblLayout w:type="fixed"/>
        <w:tblCellMar>
          <w:top w:w="0" w:type="dxa"/>
          <w:left w:w="0" w:type="dxa"/>
          <w:bottom w:w="0" w:type="dxa"/>
          <w:right w:w="0" w:type="dxa"/>
        </w:tblCellMar>
      </w:tblPr>
      <w:tblGrid>
        <w:gridCol w:w="3200"/>
        <w:gridCol w:w="60"/>
        <w:gridCol w:w="403"/>
        <w:gridCol w:w="1267"/>
        <w:gridCol w:w="215"/>
        <w:gridCol w:w="60"/>
        <w:gridCol w:w="403"/>
        <w:gridCol w:w="1267"/>
        <w:gridCol w:w="23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b/>
              </w:rPr>
            </w:pPr>
            <w:r>
              <w:rPr>
                <w:b/>
              </w:rPr>
              <w:t>2/6/2026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b/>
              </w:rPr>
            </w:pPr>
            <w:r>
              <w:rPr>
                <w:b/>
              </w:rPr>
              <w:t>12/31/2025</w:t>
            </w:r>
          </w:p>
        </w:tc>
        <w:tc>
          <w:tcPr>
            <w:tcW w:w="230" w:type="dxa"/>
            <w:tcBorders/>
            <w:vAlign w:val="center"/>
          </w:tcPr>
          <w:p>
            <w:pPr>
              <w:pStyle w:val="TableContents"/>
              <w:bidi w:val="0"/>
              <w:spacing w:before="0" w:after="283"/>
              <w:jc w:val="left"/>
              <w:rPr/>
            </w:pPr>
            <w:r>
              <w:rPr/>
              <w:t> </w:t>
            </w:r>
          </w:p>
        </w:tc>
      </w:tr>
      <w:tr>
        <w:trPr/>
        <w:tc>
          <w:tcPr>
            <w:tcW w:w="3200" w:type="dxa"/>
            <w:tcBorders>
              <w:bottom w:val="single" w:sz="8" w:space="0" w:color="000000"/>
            </w:tcBorders>
            <w:tcMar>
              <w:bottom w:w="28" w:type="dxa"/>
            </w:tcMar>
            <w:vAlign w:val="center"/>
          </w:tcPr>
          <w:p>
            <w:pPr>
              <w:pStyle w:val="TableContents"/>
              <w:bidi w:val="0"/>
              <w:spacing w:before="0" w:after="283"/>
              <w:jc w:val="center"/>
              <w:rPr>
                <w:b/>
              </w:rPr>
            </w:pPr>
            <w:r>
              <w:rPr>
                <w:b/>
              </w:rPr>
              <w:t>Unobservable / key assumption</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Remeasurement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Remeasurement</w:t>
            </w:r>
          </w:p>
        </w:tc>
        <w:tc>
          <w:tcPr>
            <w:tcW w:w="23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bookmarkStart w:id="641" w:name="xdx_903_eus-gaap--DerivativeLiabilityMea"/>
            <w:bookmarkEnd w:id="641"/>
            <w:r>
              <w:rPr/>
              <w:t>3.28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bookmarkStart w:id="642" w:name="xdx_90F_eus-gaap--DerivativeLiabilityMea"/>
            <w:bookmarkEnd w:id="642"/>
            <w:r>
              <w:rPr/>
              <w:t>3.03</w:t>
            </w:r>
          </w:p>
        </w:tc>
        <w:tc>
          <w:tcPr>
            <w:tcW w:w="23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Indicated conversion price</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w:t>
            </w:r>
          </w:p>
        </w:tc>
        <w:tc>
          <w:tcPr>
            <w:tcW w:w="1267" w:type="dxa"/>
            <w:tcBorders/>
            <w:shd w:fill="FFFFFF" w:val="clear"/>
            <w:vAlign w:val="center"/>
          </w:tcPr>
          <w:p>
            <w:pPr>
              <w:pStyle w:val="TableContents"/>
              <w:bidi w:val="0"/>
              <w:spacing w:before="0" w:after="283"/>
              <w:jc w:val="right"/>
              <w:rPr/>
            </w:pPr>
            <w:bookmarkStart w:id="643" w:name="xdx_90E_eus-gaap--DerivativeLiabilityMea"/>
            <w:bookmarkEnd w:id="643"/>
            <w:r>
              <w:rPr/>
              <w:t>4.00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w:t>
            </w:r>
          </w:p>
        </w:tc>
        <w:tc>
          <w:tcPr>
            <w:tcW w:w="1267" w:type="dxa"/>
            <w:tcBorders/>
            <w:shd w:fill="FFFFFF" w:val="clear"/>
            <w:vAlign w:val="center"/>
          </w:tcPr>
          <w:p>
            <w:pPr>
              <w:pStyle w:val="TableContents"/>
              <w:bidi w:val="0"/>
              <w:spacing w:before="0" w:after="283"/>
              <w:jc w:val="right"/>
              <w:rPr/>
            </w:pPr>
            <w:bookmarkStart w:id="644" w:name="xdx_909_eus-gaap--DerivativeLiabilityMea"/>
            <w:bookmarkEnd w:id="644"/>
            <w:r>
              <w:rPr/>
              <w:t>4.00</w:t>
            </w:r>
          </w:p>
        </w:tc>
        <w:tc>
          <w:tcPr>
            <w:tcW w:w="23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Floor price</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bookmarkStart w:id="645" w:name="xdx_905_eus-gaap--DerivativeLiabilityMea"/>
            <w:bookmarkEnd w:id="645"/>
            <w:r>
              <w:rPr/>
              <w:t>4.00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bookmarkStart w:id="646" w:name="xdx_909_eus-gaap--DerivativeLiabilityMea"/>
            <w:bookmarkEnd w:id="646"/>
            <w:r>
              <w:rPr/>
              <w:t>4.00</w:t>
            </w:r>
          </w:p>
        </w:tc>
        <w:tc>
          <w:tcPr>
            <w:tcW w:w="23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Prepayment probability</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bookmarkStart w:id="647" w:name="xdx_90A_eus-gaap--DerivativeLiabilityMea"/>
            <w:bookmarkEnd w:id="647"/>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bookmarkStart w:id="648" w:name="xdx_905_eus-gaap--DerivativeLiabilityMea"/>
            <w:bookmarkEnd w:id="648"/>
            <w:r>
              <w:rPr/>
              <w:t>70</w:t>
            </w:r>
          </w:p>
        </w:tc>
        <w:tc>
          <w:tcPr>
            <w:tcW w:w="23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Prepayment premium</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bookmarkStart w:id="649" w:name="xdx_909_eus-gaap--DerivativeLiabilityMea"/>
            <w:bookmarkEnd w:id="649"/>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bookmarkStart w:id="650" w:name="xdx_907_eus-gaap--DerivativeLiabilityMea"/>
            <w:bookmarkEnd w:id="650"/>
            <w:r>
              <w:rPr/>
              <w:t>10</w:t>
            </w:r>
          </w:p>
        </w:tc>
        <w:tc>
          <w:tcPr>
            <w:tcW w:w="23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Registration probability</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bookmarkStart w:id="651" w:name="xdx_90B_eus-gaap--DerivativeLiabilityMea"/>
            <w:bookmarkEnd w:id="651"/>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bookmarkStart w:id="652" w:name="xdx_902_eus-gaap--DerivativeLiabilityMea"/>
            <w:bookmarkEnd w:id="652"/>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53" w:name="xdx_8AD_zJwTrMtPbUEf"/>
      <w:bookmarkEnd w:id="65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was most sensitive to the Company’s stock price, expected volatility, and prepayment timing/probability assumptions; increases in stock price or volatility would generally increase fair value, while a higher prepayment probability would generally decrease it. Given the path-dependent valuation, quantitative sensitivity analysis is not presented.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4" w:name="xdx_896_eus-gaap--ScheduleOfDerivativeLi"/>
      <w:bookmarkEnd w:id="654"/>
      <w:r>
        <w:rPr>
          <w:rFonts w:ascii="Times New Roman;Times;Serif" w:hAnsi="Times New Roman;Times;Serif"/>
          <w:b w:val="false"/>
          <w:i w:val="false"/>
          <w:caps w:val="false"/>
          <w:smallCaps w:val="false"/>
          <w:sz w:val="20"/>
        </w:rPr>
        <w:t>The following table presents the rollforward of the embedded derivative liability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655" w:name="xdx_8BF_zuObjE74xRkd"/>
      <w:bookmarkEnd w:id="655"/>
      <w:r>
        <w:rPr>
          <w:rFonts w:ascii="Times New Roman;Times;Serif" w:hAnsi="Times New Roman;Times;Serif"/>
          <w:b w:val="false"/>
          <w:i w:val="false"/>
          <w:caps w:val="false"/>
          <w:smallCaps w:val="false"/>
          <w:sz w:val="20"/>
        </w:rPr>
        <w:t>SCHEDULE OF FAIR VALUE MEASUREMENTS EMBEDDED DERIVATIVE LIABILITY </w:t>
      </w:r>
    </w:p>
    <w:tbl>
      <w:tblPr>
        <w:tblW w:w="4275" w:type="dxa"/>
        <w:jc w:val="left"/>
        <w:tblInd w:w="0" w:type="dxa"/>
        <w:tblLayout w:type="fixed"/>
        <w:tblCellMar>
          <w:top w:w="0" w:type="dxa"/>
          <w:left w:w="0" w:type="dxa"/>
          <w:bottom w:w="0" w:type="dxa"/>
          <w:right w:w="0" w:type="dxa"/>
        </w:tblCellMar>
      </w:tblPr>
      <w:tblGrid>
        <w:gridCol w:w="3245"/>
        <w:gridCol w:w="60"/>
        <w:gridCol w:w="155"/>
        <w:gridCol w:w="705"/>
        <w:gridCol w:w="110"/>
      </w:tblGrid>
      <w:tr>
        <w:trPr/>
        <w:tc>
          <w:tcPr>
            <w:tcW w:w="3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56" w:name="xdx_497_20260101__20260630__us-gaap--Fai"/>
            <w:bookmarkEnd w:id="65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bookmarkStart w:id="657" w:name="xdx_40A_eus-gaap--DerivativeLiabilitiesC"/>
            <w:bookmarkEnd w:id="657"/>
          </w:p>
        </w:tc>
      </w:tr>
      <w:tr>
        <w:trPr/>
        <w:tc>
          <w:tcPr>
            <w:tcW w:w="324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1,700</w:t>
            </w:r>
          </w:p>
        </w:tc>
        <w:tc>
          <w:tcPr>
            <w:tcW w:w="110" w:type="dxa"/>
            <w:tcBorders/>
            <w:shd w:fill="CCEEFF" w:val="clear"/>
            <w:vAlign w:val="center"/>
          </w:tcPr>
          <w:p>
            <w:pPr>
              <w:pStyle w:val="TableContents"/>
              <w:bidi w:val="0"/>
              <w:spacing w:before="0" w:after="283"/>
              <w:jc w:val="left"/>
              <w:rPr/>
            </w:pPr>
            <w:r>
              <w:rPr/>
              <w:t> </w:t>
            </w:r>
            <w:bookmarkStart w:id="658" w:name="xdx_409_ecustom--ChangeInFairValueOfEmbe"/>
            <w:bookmarkEnd w:id="658"/>
          </w:p>
        </w:tc>
      </w:tr>
      <w:tr>
        <w:trPr/>
        <w:tc>
          <w:tcPr>
            <w:tcW w:w="324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(497</w:t>
            </w:r>
          </w:p>
        </w:tc>
        <w:tc>
          <w:tcPr>
            <w:tcW w:w="110" w:type="dxa"/>
            <w:tcBorders/>
            <w:shd w:fill="FFFFFF" w:val="clear"/>
            <w:vAlign w:val="center"/>
          </w:tcPr>
          <w:p>
            <w:pPr>
              <w:pStyle w:val="TableContents"/>
              <w:bidi w:val="0"/>
              <w:spacing w:before="0" w:after="283"/>
              <w:jc w:val="left"/>
              <w:rPr/>
            </w:pPr>
            <w:r>
              <w:rPr/>
              <w:t>)</w:t>
            </w:r>
            <w:bookmarkStart w:id="659" w:name="xdx_409_ecustom--EmbeddedDerivativeLiabi"/>
            <w:bookmarkEnd w:id="659"/>
          </w:p>
        </w:tc>
      </w:tr>
      <w:tr>
        <w:trPr/>
        <w:tc>
          <w:tcPr>
            <w:tcW w:w="3245" w:type="dxa"/>
            <w:tcBorders/>
            <w:shd w:fill="CCEEFF" w:val="clear"/>
            <w:vAlign w:val="center"/>
          </w:tcPr>
          <w:p>
            <w:pPr>
              <w:pStyle w:val="TableContents"/>
              <w:bidi w:val="0"/>
              <w:spacing w:before="0" w:after="283"/>
              <w:jc w:val="left"/>
              <w:rPr/>
            </w:pPr>
            <w:r>
              <w:rPr/>
              <w:t>Settlements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(1,203</w:t>
            </w:r>
          </w:p>
        </w:tc>
        <w:tc>
          <w:tcPr>
            <w:tcW w:w="110" w:type="dxa"/>
            <w:tcBorders/>
            <w:shd w:fill="CCEEFF" w:val="clear"/>
            <w:vAlign w:val="center"/>
          </w:tcPr>
          <w:p>
            <w:pPr>
              <w:pStyle w:val="TableContents"/>
              <w:bidi w:val="0"/>
              <w:spacing w:before="0" w:after="283"/>
              <w:jc w:val="left"/>
              <w:rPr/>
            </w:pPr>
            <w:r>
              <w:rPr/>
              <w:t>)</w:t>
            </w:r>
            <w:bookmarkStart w:id="660" w:name="xdx_40D_eus-gaap--DerivativeLiabilitiesC"/>
            <w:bookmarkEnd w:id="660"/>
          </w:p>
        </w:tc>
      </w:tr>
      <w:tr>
        <w:trPr/>
        <w:tc>
          <w:tcPr>
            <w:tcW w:w="3245" w:type="dxa"/>
            <w:tcBorders/>
            <w:shd w:fill="FFFFFF" w:val="clear"/>
            <w:vAlign w:val="center"/>
          </w:tcPr>
          <w:p>
            <w:pPr>
              <w:pStyle w:val="TableContents"/>
              <w:bidi w:val="0"/>
              <w:spacing w:before="0" w:after="283"/>
              <w:jc w:val="left"/>
              <w:rPr/>
            </w:pPr>
            <w:r>
              <w:rPr/>
              <w:t>Balance as of June 30, 2026</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70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1" w:name="xdx_8A0_ziFthpGAK6Di"/>
      <w:bookmarkEnd w:id="66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bookmarkStart w:id="662" w:name="xdx_905_eus-gaap--EmbeddedDerivativeGain"/>
      <w:bookmarkEnd w:id="662"/>
      <w:r>
        <w:rPr>
          <w:rFonts w:ascii="Times New Roman;Times;Serif" w:hAnsi="Times New Roman;Times;Serif"/>
          <w:b w:val="false"/>
          <w:i w:val="false"/>
          <w:caps w:val="false"/>
          <w:smallCaps w:val="false"/>
          <w:sz w:val="20"/>
        </w:rPr>
        <w:t>497 gain is included in change in fair value of embedded derivative in the unaudited condensed consolidated statements of operations for the six months ended June 30, 2026. Upon settlement of the Convertible Debentures on February 6, 2026, the Company derecognized the $</w:t>
      </w:r>
      <w:bookmarkStart w:id="663" w:name="xdx_900_eus-gaap--EmbeddedDerivativeFair"/>
      <w:bookmarkEnd w:id="663"/>
      <w:r>
        <w:rPr>
          <w:rFonts w:ascii="Times New Roman;Times;Serif" w:hAnsi="Times New Roman;Times;Serif"/>
          <w:b w:val="false"/>
          <w:i w:val="false"/>
          <w:caps w:val="false"/>
          <w:smallCaps w:val="false"/>
          <w:sz w:val="20"/>
        </w:rPr>
        <w:t>1,203 remaining embedded derivative liability, resulting in a $</w:t>
      </w:r>
      <w:bookmarkStart w:id="664" w:name="xdx_907_eus-gaap--EmbeddedDerivativeLoss"/>
      <w:bookmarkEnd w:id="664"/>
      <w:r>
        <w:rPr>
          <w:rFonts w:ascii="Times New Roman;Times;Serif" w:hAnsi="Times New Roman;Times;Serif"/>
          <w:b w:val="false"/>
          <w:i w:val="false"/>
          <w:caps w:val="false"/>
          <w:smallCaps w:val="false"/>
          <w:sz w:val="20"/>
        </w:rPr>
        <w:t>443 gain on derecognition that is included as a component of the $</w:t>
      </w:r>
      <w:bookmarkStart w:id="665" w:name="xdx_909_eus-gaap--GainsLossesOnExtinguis"/>
      <w:bookmarkEnd w:id="665"/>
      <w:r>
        <w:rPr>
          <w:rFonts w:ascii="Times New Roman;Times;Serif" w:hAnsi="Times New Roman;Times;Serif"/>
          <w:b w:val="false"/>
          <w:i w:val="false"/>
          <w:caps w:val="false"/>
          <w:smallCaps w:val="false"/>
          <w:sz w:val="20"/>
        </w:rPr>
        <w:t>3,057 net realized loss on extinguishment of the Convertible Debentures disclosed in Note 22 — Convertible Debentures and Related Derivative Instruments (i.e., the $</w:t>
      </w:r>
      <w:bookmarkStart w:id="666" w:name="xdx_903_eus-gaap--GainsLossesOnExtinguis"/>
      <w:bookmarkEnd w:id="666"/>
      <w:r>
        <w:rPr>
          <w:rFonts w:ascii="Times New Roman;Times;Serif" w:hAnsi="Times New Roman;Times;Serif"/>
          <w:b w:val="false"/>
          <w:i w:val="false"/>
          <w:caps w:val="false"/>
          <w:smallCaps w:val="false"/>
          <w:sz w:val="20"/>
        </w:rPr>
        <w:t>3,057 loss is presented net of this $</w:t>
      </w:r>
      <w:bookmarkStart w:id="667" w:name="xdx_90A_eus-gaap--EmbeddedDerivativeLoss"/>
      <w:bookmarkEnd w:id="667"/>
      <w:r>
        <w:rPr>
          <w:rFonts w:ascii="Times New Roman;Times;Serif" w:hAnsi="Times New Roman;Times;Serif"/>
          <w:b w:val="false"/>
          <w:i w:val="false"/>
          <w:caps w:val="false"/>
          <w:smallCaps w:val="false"/>
          <w:sz w:val="20"/>
        </w:rPr>
        <w:t>443 gain). No Level 3 activity occurred during the three months ended June 30, 2026, as the Convertible Debentures and the related embedded derivative were fully settled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8" w:name="xdx_80F_eus-gaap--OperatingLeasesOfLesso"/>
      <w:bookmarkEnd w:id="668"/>
      <w:r>
        <w:rPr>
          <w:rFonts w:ascii="Times New Roman;Times;Serif" w:hAnsi="Times New Roman;Times;Serif"/>
          <w:b/>
          <w:i w:val="false"/>
          <w:caps w:val="false"/>
          <w:smallCaps w:val="false"/>
          <w:sz w:val="20"/>
        </w:rPr>
        <w:t xml:space="preserve">NOTE 15 – </w:t>
      </w:r>
      <w:bookmarkStart w:id="669" w:name="xdx_826_zVBfu29NNmsd"/>
      <w:bookmarkEnd w:id="669"/>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office space at 165 Lincoln Ave, 2nd Floor, Winter Park, Florida, under a non-cancelable operating lease that commenced in June 2026 with a term of approximately five years, expiring May 31, 2031. The lease contains a five-year renewal option that the Company is not reasonably certain to exercise; accordingly, the renewal period is excluded from the lease term. The lease also includes a one-time early termination option effective 24 months after commencement, exercisable upon at least three months’ prior written notice and payment of a termination fee equal to five months of then-current base rent plus any unamortized broker commissions. The Company is not reasonably certain to exercise this option; accordingly, it is excluded from the lease term. The Company recognized a right-of-use asset and corresponding lease liability based on the present value of the remaining lease payments, discounted using the Company’s incremental borrowing rate of </w:t>
      </w:r>
      <w:bookmarkStart w:id="670" w:name="xdx_90B_eus-gaap--LesseeOperatingLeaseDi"/>
      <w:bookmarkEnd w:id="670"/>
      <w:r>
        <w:rPr>
          <w:rFonts w:ascii="Times New Roman;Times;Serif" w:hAnsi="Times New Roman;Times;Serif"/>
          <w:b w:val="false"/>
          <w:i w:val="false"/>
          <w:caps w:val="false"/>
          <w:smallCaps w:val="false"/>
          <w:sz w:val="20"/>
        </w:rPr>
        <w:t>7.50%, as the rate implicit in the lease was not readily determinable. The lease is structured as a modified gross lease, under which the landlord is responsible for property taxes, property insurance, and common area maintenance, and the Company’s only variable payment obligation relates to a pro rata share of the property’s electricity costs, billed as additional rent. The Company has elected to account for the lease and non-lease components as a single lease component. Prior to June 2026, the Company’s office space arrangements had terms of 12 months or less and, consistent with the Company’s accounting policy election under the short-term lease exception in ASC 842-20-25-2, were not recognized on the balance sheet as right-of-use assets or lease liabilities; the associated cost is reflected as other lease expense for the three and six months ended June 30, 2025. Accordingly, no right-of-use asset or lease liability was recognized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1" w:name="xdx_89D_eus-gaap--LeaseCostTableTextBloc"/>
      <w:bookmarkEnd w:id="671"/>
      <w:r>
        <w:rPr>
          <w:rFonts w:ascii="Times New Roman;Times;Serif" w:hAnsi="Times New Roman;Times;Serif"/>
          <w:b w:val="false"/>
          <w:i w:val="false"/>
          <w:caps w:val="false"/>
          <w:smallCaps w:val="false"/>
          <w:sz w:val="20"/>
        </w:rPr>
        <w:t>The following table presents the components of lease cost for the periods indicated: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2" w:name="xdx_8B1_z9Kp9eUe5SA2"/>
      <w:bookmarkEnd w:id="672"/>
      <w:r>
        <w:rPr>
          <w:rFonts w:ascii="Times New Roman;Times;Serif" w:hAnsi="Times New Roman;Times;Serif"/>
          <w:b w:val="false"/>
          <w:i w:val="false"/>
          <w:caps w:val="false"/>
          <w:smallCaps w:val="false"/>
          <w:sz w:val="20"/>
        </w:rPr>
        <w:t>SCHEDULE OF LEASE COST </w:t>
      </w:r>
    </w:p>
    <w:tbl>
      <w:tblPr>
        <w:tblW w:w="9138" w:type="dxa"/>
        <w:jc w:val="left"/>
        <w:tblInd w:w="0" w:type="dxa"/>
        <w:tblLayout w:type="fixed"/>
        <w:tblCellMar>
          <w:top w:w="0" w:type="dxa"/>
          <w:left w:w="0" w:type="dxa"/>
          <w:bottom w:w="0" w:type="dxa"/>
          <w:right w:w="0" w:type="dxa"/>
        </w:tblCellMar>
      </w:tblPr>
      <w:tblGrid>
        <w:gridCol w:w="2000"/>
        <w:gridCol w:w="60"/>
        <w:gridCol w:w="2555"/>
        <w:gridCol w:w="60"/>
        <w:gridCol w:w="357"/>
        <w:gridCol w:w="663"/>
        <w:gridCol w:w="122"/>
        <w:gridCol w:w="122"/>
        <w:gridCol w:w="357"/>
        <w:gridCol w:w="663"/>
        <w:gridCol w:w="60"/>
        <w:gridCol w:w="60"/>
        <w:gridCol w:w="310"/>
        <w:gridCol w:w="576"/>
        <w:gridCol w:w="106"/>
        <w:gridCol w:w="106"/>
        <w:gridCol w:w="310"/>
        <w:gridCol w:w="576"/>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283"/>
              <w:jc w:val="center"/>
              <w:rPr>
                <w:b/>
              </w:rPr>
            </w:pPr>
            <w:r>
              <w:rPr>
                <w:b/>
              </w:rPr>
              <w:t>Classification</w:t>
            </w:r>
          </w:p>
        </w:tc>
        <w:tc>
          <w:tcPr>
            <w:tcW w:w="60" w:type="dxa"/>
            <w:tcBorders/>
            <w:vAlign w:val="center"/>
          </w:tcPr>
          <w:p>
            <w:pPr>
              <w:pStyle w:val="TableContents"/>
              <w:bidi w:val="0"/>
              <w:spacing w:before="0" w:after="283"/>
              <w:jc w:val="left"/>
              <w:rPr/>
            </w:pPr>
            <w:r>
              <w:rPr/>
              <w:t> </w:t>
            </w:r>
            <w:bookmarkStart w:id="673" w:name="xdx_491_20260401__20260630_zrrzZ8bItqlk"/>
            <w:bookmarkEnd w:id="673"/>
          </w:p>
        </w:tc>
        <w:tc>
          <w:tcPr>
            <w:tcW w:w="10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bookmarkStart w:id="674" w:name="xdx_495_20250401__20250630_zVIY4gkCC9Ma"/>
            <w:bookmarkEnd w:id="674"/>
          </w:p>
        </w:tc>
        <w:tc>
          <w:tcPr>
            <w:tcW w:w="10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5" w:name="xdx_493_20260101__20260630_zh5TLE6oT98i"/>
            <w:bookmarkEnd w:id="675"/>
          </w:p>
        </w:tc>
        <w:tc>
          <w:tcPr>
            <w:tcW w:w="8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bookmarkStart w:id="676" w:name="xdx_496_20250101__20250630_zD5F8tSKgDUb"/>
            <w:bookmarkEnd w:id="676"/>
          </w:p>
        </w:tc>
        <w:tc>
          <w:tcPr>
            <w:tcW w:w="8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b/>
              </w:rPr>
            </w:pPr>
            <w:r>
              <w:rPr>
                <w:b/>
              </w:rPr>
              <w:t>Expense</w:t>
            </w:r>
          </w:p>
        </w:tc>
        <w:tc>
          <w:tcPr>
            <w:tcW w:w="60" w:type="dxa"/>
            <w:tcBorders/>
            <w:vAlign w:val="center"/>
          </w:tcPr>
          <w:p>
            <w:pPr>
              <w:pStyle w:val="TableContents"/>
              <w:bidi w:val="0"/>
              <w:spacing w:before="0" w:after="283"/>
              <w:jc w:val="left"/>
              <w:rPr/>
            </w:pPr>
            <w:r>
              <w:rPr/>
              <w:t> </w:t>
            </w:r>
          </w:p>
        </w:tc>
        <w:tc>
          <w:tcPr>
            <w:tcW w:w="2284" w:type="dxa"/>
            <w:gridSpan w:val="6"/>
            <w:tcBorders>
              <w:bottom w:val="single" w:sz="8" w:space="0" w:color="000000"/>
            </w:tcBorders>
            <w:tcMar>
              <w:bottom w:w="28" w:type="dxa"/>
            </w:tcMar>
            <w:vAlign w:val="center"/>
          </w:tcPr>
          <w:p>
            <w:pPr>
              <w:pStyle w:val="TableContents"/>
              <w:bidi w:val="0"/>
              <w:jc w:val="center"/>
              <w:rPr>
                <w:b/>
              </w:rPr>
            </w:pPr>
            <w:r>
              <w:rPr>
                <w:b/>
              </w:rPr>
              <w:t>For the Three Months</w:t>
            </w:r>
          </w:p>
          <w:p>
            <w:pPr>
              <w:pStyle w:val="TableContents"/>
              <w:bidi w:val="0"/>
              <w:spacing w:before="0" w:after="283"/>
              <w:jc w:val="center"/>
              <w:rPr>
                <w:b/>
              </w:rPr>
            </w:pPr>
            <w:r>
              <w:rPr>
                <w:b/>
              </w:rPr>
              <w:t>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6"/>
            <w:tcBorders>
              <w:bottom w:val="single" w:sz="8" w:space="0" w:color="000000"/>
            </w:tcBorders>
            <w:tcMar>
              <w:bottom w:w="28" w:type="dxa"/>
            </w:tcMar>
            <w:vAlign w:val="center"/>
          </w:tcPr>
          <w:p>
            <w:pPr>
              <w:pStyle w:val="TableContents"/>
              <w:bidi w:val="0"/>
              <w:jc w:val="center"/>
              <w:rPr>
                <w:b/>
              </w:rPr>
            </w:pPr>
            <w:r>
              <w:rPr>
                <w:b/>
              </w:rPr>
              <w:t>For the Six Months</w:t>
            </w:r>
          </w:p>
          <w:p>
            <w:pPr>
              <w:pStyle w:val="TableContents"/>
              <w:bidi w:val="0"/>
              <w:spacing w:before="0" w:after="283"/>
              <w:jc w:val="center"/>
              <w:rPr>
                <w:b/>
              </w:rPr>
            </w:pPr>
            <w:r>
              <w:rPr>
                <w:b/>
              </w:rPr>
              <w:t>Ended June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283"/>
              <w:jc w:val="center"/>
              <w:rPr>
                <w:b/>
              </w:rPr>
            </w:pPr>
            <w:r>
              <w:rPr>
                <w:b/>
              </w:rPr>
              <w:t>Classification</w:t>
            </w:r>
          </w:p>
        </w:tc>
        <w:tc>
          <w:tcPr>
            <w:tcW w:w="60" w:type="dxa"/>
            <w:tcBorders/>
            <w:vAlign w:val="center"/>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677" w:name="xdx_40F_eus-gaap--OperatingLeaseCost_pn3"/>
            <w:bookmarkEnd w:id="677"/>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5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12</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576" w:type="dxa"/>
            <w:tcBorders/>
            <w:shd w:fill="CCEEFF" w:val="clear"/>
            <w:vAlign w:val="center"/>
          </w:tcPr>
          <w:p>
            <w:pPr>
              <w:pStyle w:val="TableContents"/>
              <w:bidi w:val="0"/>
              <w:spacing w:before="0" w:after="283"/>
              <w:jc w:val="right"/>
              <w:rPr/>
            </w:pPr>
            <w:r>
              <w:rPr/>
              <w:t>12</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57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78" w:name="xdx_401_eus-gaap--ShortTermLeaseCost_pn3"/>
            <w:bookmarkEnd w:id="678"/>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55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3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3"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3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3" w:type="dxa"/>
            <w:tcBorders>
              <w:bottom w:val="single" w:sz="8" w:space="0" w:color="000000"/>
            </w:tcBorders>
            <w:shd w:fill="FFFFFF" w:val="clear"/>
            <w:tcMar>
              <w:bottom w:w="28" w:type="dxa"/>
            </w:tcM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3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75" w:type="dxa"/>
            <w:tcBorders/>
            <w:shd w:fill="FFFFFF" w:val="clear"/>
            <w:vAlign w:val="center"/>
          </w:tcPr>
          <w:p>
            <w:pPr>
              <w:pStyle w:val="TableContents"/>
              <w:bidi w:val="0"/>
              <w:spacing w:before="0" w:after="283"/>
              <w:jc w:val="left"/>
              <w:rPr/>
            </w:pPr>
            <w:r>
              <w:rPr/>
              <w:t> </w:t>
            </w:r>
            <w:bookmarkStart w:id="679" w:name="xdx_404_eus-gaap--LeaseCost_iT_pn3n3_mtL"/>
            <w:bookmarkEnd w:id="679"/>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jc w:val="right"/>
              <w:rPr/>
            </w:pPr>
            <w:r>
              <w:rPr/>
              <w:t>24</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jc w:val="right"/>
              <w:rPr/>
            </w:pPr>
            <w:r>
              <w:rPr/>
              <w:t>49</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jc w:val="right"/>
              <w:rPr/>
            </w:pPr>
            <w:r>
              <w:rPr/>
              <w:t>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0" w:name="xdx_8AB_zunZmQfjAlN2"/>
      <w:bookmarkEnd w:id="68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1" w:name="xdx_893_ecustom--RightOfUseAssetAndOpera"/>
      <w:bookmarkEnd w:id="681"/>
      <w:r>
        <w:rPr>
          <w:rFonts w:ascii="Times New Roman;Times;Serif" w:hAnsi="Times New Roman;Times;Serif"/>
          <w:b w:val="false"/>
          <w:i w:val="false"/>
          <w:caps w:val="false"/>
          <w:smallCaps w:val="false"/>
          <w:sz w:val="20"/>
        </w:rPr>
        <w:t>The following table presents the classification of the Company’s right-of-use asset and operating lease liabilities in the unaudited condensed consolidated balance sheets: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2" w:name="xdx_8BA_zIhyA3iYkPVc"/>
      <w:bookmarkEnd w:id="682"/>
      <w:r>
        <w:rPr>
          <w:rFonts w:ascii="Times New Roman;Times;Serif" w:hAnsi="Times New Roman;Times;Serif"/>
          <w:b w:val="false"/>
          <w:i w:val="false"/>
          <w:caps w:val="false"/>
          <w:smallCaps w:val="false"/>
          <w:sz w:val="20"/>
        </w:rPr>
        <w:t>SCHEDULE OF RIGHT-OF-USE ASSET AND OPERATING LEASE LIABILITIES  </w:t>
      </w:r>
    </w:p>
    <w:tbl>
      <w:tblPr>
        <w:tblW w:w="10053" w:type="dxa"/>
        <w:jc w:val="left"/>
        <w:tblInd w:w="0" w:type="dxa"/>
        <w:tblLayout w:type="fixed"/>
        <w:tblCellMar>
          <w:top w:w="0" w:type="dxa"/>
          <w:left w:w="0" w:type="dxa"/>
          <w:bottom w:w="0" w:type="dxa"/>
          <w:right w:w="0" w:type="dxa"/>
        </w:tblCellMar>
      </w:tblPr>
      <w:tblGrid>
        <w:gridCol w:w="2900"/>
        <w:gridCol w:w="60"/>
        <w:gridCol w:w="3470"/>
        <w:gridCol w:w="60"/>
        <w:gridCol w:w="379"/>
        <w:gridCol w:w="1035"/>
        <w:gridCol w:w="60"/>
        <w:gridCol w:w="60"/>
        <w:gridCol w:w="1158"/>
        <w:gridCol w:w="796"/>
        <w:gridCol w:w="7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3" w:name="xdx_49F_20260630_zFRCG6JqXsGj"/>
            <w:bookmarkEnd w:id="683"/>
          </w:p>
        </w:tc>
        <w:tc>
          <w:tcPr>
            <w:tcW w:w="1414" w:type="dxa"/>
            <w:gridSpan w:val="2"/>
            <w:tcBorders/>
            <w:vAlign w:val="center"/>
          </w:tcPr>
          <w:p>
            <w:pPr>
              <w:pStyle w:val="TableContents"/>
              <w:bidi w:val="0"/>
              <w:spacing w:before="0" w:after="283"/>
              <w:jc w:val="center"/>
              <w:rPr>
                <w:b/>
              </w:rPr>
            </w:pPr>
            <w:r>
              <w:rPr>
                <w:b/>
              </w:rPr>
              <w:t xml:space="preserve">As of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4" w:name="xdx_499_20251231_zwnBQmtbO6kf"/>
            <w:bookmarkEnd w:id="684"/>
          </w:p>
        </w:tc>
        <w:tc>
          <w:tcPr>
            <w:tcW w:w="1954" w:type="dxa"/>
            <w:gridSpan w:val="2"/>
            <w:tcBorders/>
            <w:vAlign w:val="center"/>
          </w:tcPr>
          <w:p>
            <w:pPr>
              <w:pStyle w:val="TableContents"/>
              <w:bidi w:val="0"/>
              <w:spacing w:before="0" w:after="283"/>
              <w:jc w:val="center"/>
              <w:rPr>
                <w:b/>
              </w:rPr>
            </w:pPr>
            <w:r>
              <w:rPr>
                <w:b/>
              </w:rPr>
              <w:t xml:space="preserve">As of </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85" w:name="xdx_40D_eus-gaap--OperatingLeaseRightOfU"/>
            <w:bookmarkEnd w:id="685"/>
          </w:p>
        </w:tc>
      </w:tr>
      <w:tr>
        <w:trPr/>
        <w:tc>
          <w:tcPr>
            <w:tcW w:w="2900" w:type="dxa"/>
            <w:tcBorders/>
            <w:shd w:fill="FFFFFF" w:val="clear"/>
            <w:vAlign w:val="center"/>
          </w:tcPr>
          <w:p>
            <w:pPr>
              <w:pStyle w:val="TableContents"/>
              <w:bidi w:val="0"/>
              <w:spacing w:before="0" w:after="283"/>
              <w:jc w:val="left"/>
              <w:rPr/>
            </w:pPr>
            <w:r>
              <w:rPr/>
              <w:t>Total non-current lease assets</w:t>
            </w:r>
          </w:p>
        </w:tc>
        <w:tc>
          <w:tcPr>
            <w:tcW w:w="60" w:type="dxa"/>
            <w:tcBorders/>
            <w:shd w:fill="FFFFFF" w:val="clear"/>
            <w:vAlign w:val="center"/>
          </w:tcPr>
          <w:p>
            <w:pPr>
              <w:pStyle w:val="TableContents"/>
              <w:bidi w:val="0"/>
              <w:spacing w:before="0" w:after="283"/>
              <w:jc w:val="left"/>
              <w:rPr/>
            </w:pPr>
            <w:r>
              <w:rPr/>
              <w:t> </w:t>
            </w:r>
          </w:p>
        </w:tc>
        <w:tc>
          <w:tcPr>
            <w:tcW w:w="3470" w:type="dxa"/>
            <w:tcBorders/>
            <w:shd w:fill="FFFFFF" w:val="clear"/>
            <w:vAlign w:val="center"/>
          </w:tcPr>
          <w:p>
            <w:pPr>
              <w:pStyle w:val="TableContents"/>
              <w:bidi w:val="0"/>
              <w:spacing w:before="0" w:after="283"/>
              <w:jc w:val="left"/>
              <w:rPr/>
            </w:pPr>
            <w:r>
              <w:rPr/>
              <w:t>Right-of-use asset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w:t>
            </w:r>
          </w:p>
        </w:tc>
        <w:tc>
          <w:tcPr>
            <w:tcW w:w="1035" w:type="dxa"/>
            <w:tcBorders/>
            <w:shd w:fill="FFFFFF" w:val="clear"/>
            <w:vAlign w:val="center"/>
          </w:tcPr>
          <w:p>
            <w:pPr>
              <w:pStyle w:val="TableContents"/>
              <w:bidi w:val="0"/>
              <w:spacing w:before="0" w:after="283"/>
              <w:jc w:val="right"/>
              <w:rPr/>
            </w:pPr>
            <w:r>
              <w:rPr/>
              <w:t>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left"/>
              <w:rPr/>
            </w:pPr>
            <w:r>
              <w:rPr/>
              <w:t>$</w:t>
            </w:r>
          </w:p>
        </w:tc>
        <w:tc>
          <w:tcPr>
            <w:tcW w:w="79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Liabilities:</w:t>
            </w:r>
          </w:p>
        </w:tc>
        <w:tc>
          <w:tcPr>
            <w:tcW w:w="60" w:type="dxa"/>
            <w:tcBorders/>
            <w:shd w:fill="FFFFFF" w:val="clear"/>
            <w:vAlign w:val="center"/>
          </w:tcPr>
          <w:p>
            <w:pPr>
              <w:pStyle w:val="TableContents"/>
              <w:bidi w:val="0"/>
              <w:spacing w:before="0" w:after="283"/>
              <w:jc w:val="left"/>
              <w:rPr/>
            </w:pPr>
            <w:r>
              <w:rPr/>
              <w:t> </w:t>
            </w:r>
          </w:p>
        </w:tc>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86" w:name="xdx_40B_eus-gaap--OperatingLeaseLiabilit"/>
            <w:bookmarkEnd w:id="686"/>
          </w:p>
        </w:tc>
      </w:tr>
      <w:tr>
        <w:trPr/>
        <w:tc>
          <w:tcPr>
            <w:tcW w:w="290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left"/>
              <w:rPr/>
            </w:pPr>
            <w:r>
              <w:rPr/>
              <w:t>Operating lease liability, current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87" w:name="xdx_400_eus-gaap--OperatingLeaseLiabilit"/>
            <w:bookmarkEnd w:id="687"/>
          </w:p>
        </w:tc>
      </w:tr>
      <w:tr>
        <w:trPr/>
        <w:tc>
          <w:tcPr>
            <w:tcW w:w="2900" w:type="dxa"/>
            <w:tcBorders/>
            <w:shd w:fill="FFFFFF" w:val="clear"/>
            <w:vAlign w:val="center"/>
          </w:tcPr>
          <w:p>
            <w:pPr>
              <w:pStyle w:val="TableContents"/>
              <w:bidi w:val="0"/>
              <w:spacing w:before="0" w:after="283"/>
              <w:jc w:val="left"/>
              <w:rPr/>
            </w:pPr>
            <w:r>
              <w:rPr/>
              <w:t>Non-current</w:t>
            </w:r>
          </w:p>
        </w:tc>
        <w:tc>
          <w:tcPr>
            <w:tcW w:w="60" w:type="dxa"/>
            <w:tcBorders/>
            <w:shd w:fill="FFFFFF" w:val="clear"/>
            <w:vAlign w:val="center"/>
          </w:tcPr>
          <w:p>
            <w:pPr>
              <w:pStyle w:val="TableContents"/>
              <w:bidi w:val="0"/>
              <w:spacing w:before="0" w:after="283"/>
              <w:jc w:val="left"/>
              <w:rPr/>
            </w:pPr>
            <w:r>
              <w:rPr/>
              <w:t> </w:t>
            </w:r>
          </w:p>
        </w:tc>
        <w:tc>
          <w:tcPr>
            <w:tcW w:w="3470" w:type="dxa"/>
            <w:tcBorders/>
            <w:shd w:fill="FFFFFF" w:val="clear"/>
            <w:vAlign w:val="center"/>
          </w:tcPr>
          <w:p>
            <w:pPr>
              <w:pStyle w:val="TableContents"/>
              <w:bidi w:val="0"/>
              <w:spacing w:before="0" w:after="283"/>
              <w:jc w:val="left"/>
              <w:rPr/>
            </w:pPr>
            <w:r>
              <w:rPr/>
              <w:t>Operating lease liability, non-current</w:t>
            </w:r>
          </w:p>
        </w:tc>
        <w:tc>
          <w:tcPr>
            <w:tcW w:w="60" w:type="dxa"/>
            <w:tcBorders/>
            <w:shd w:fill="FFFFFF" w:val="clear"/>
            <w:vAlign w:val="center"/>
          </w:tcPr>
          <w:p>
            <w:pPr>
              <w:pStyle w:val="TableContents"/>
              <w:bidi w:val="0"/>
              <w:spacing w:before="0" w:after="283"/>
              <w:jc w:val="left"/>
              <w:rPr/>
            </w:pPr>
            <w:r>
              <w:rPr/>
              <w:t> </w:t>
            </w:r>
          </w:p>
        </w:tc>
        <w:tc>
          <w:tcPr>
            <w:tcW w:w="3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pPr>
            <w:r>
              <w:rPr/>
              <w:t>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88" w:name="xdx_40D_eus-gaap--OperatingLeaseLiabilit"/>
            <w:bookmarkEnd w:id="688"/>
          </w:p>
        </w:tc>
      </w:tr>
      <w:tr>
        <w:trPr/>
        <w:tc>
          <w:tcPr>
            <w:tcW w:w="2900" w:type="dxa"/>
            <w:tcBorders/>
            <w:shd w:fill="CCEEFF" w:val="clear"/>
            <w:vAlign w:val="center"/>
          </w:tcPr>
          <w:p>
            <w:pPr>
              <w:pStyle w:val="TableContents"/>
              <w:bidi w:val="0"/>
              <w:spacing w:before="0" w:after="283"/>
              <w:jc w:val="left"/>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5" w:type="dxa"/>
            <w:tcBorders>
              <w:bottom w:val="double" w:sz="6" w:space="0" w:color="000000"/>
            </w:tcBorders>
            <w:shd w:fill="CCEEFF" w:val="clear"/>
            <w:tcMar>
              <w:bottom w:w="28" w:type="dxa"/>
            </w:tcM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9" w:name="xdx_8A6_zpPy8z01uSZc"/>
      <w:bookmarkEnd w:id="68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weighted-average remaining lease term and weighted-average discount rate for the Company’s operating lease as of June 30, 2026 were </w:t>
      </w:r>
      <w:bookmarkStart w:id="690" w:name="xdx_908_eus-gaap--OperatingLeaseWeighted"/>
      <w:bookmarkEnd w:id="690"/>
      <w:r>
        <w:rPr>
          <w:rFonts w:ascii="Times New Roman;Times;Serif" w:hAnsi="Times New Roman;Times;Serif"/>
          <w:b w:val="false"/>
          <w:i w:val="false"/>
          <w:caps w:val="false"/>
          <w:smallCaps w:val="false"/>
          <w:sz w:val="20"/>
        </w:rPr>
        <w:t xml:space="preserve">4.9 years and </w:t>
      </w:r>
      <w:bookmarkStart w:id="691" w:name="xdx_902_eus-gaap--OperatingLeaseWeighted"/>
      <w:bookmarkEnd w:id="691"/>
      <w:r>
        <w:rPr>
          <w:rFonts w:ascii="Times New Roman;Times;Serif" w:hAnsi="Times New Roman;Times;Serif"/>
          <w:b w:val="false"/>
          <w:i w:val="false"/>
          <w:caps w:val="false"/>
          <w:smallCaps w:val="false"/>
          <w:sz w:val="20"/>
        </w:rPr>
        <w:t>7.50%,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2" w:name="xdx_897_eus-gaap--LesseeOperatingLeaseLi"/>
      <w:bookmarkEnd w:id="692"/>
      <w:r>
        <w:rPr>
          <w:rFonts w:ascii="Times New Roman;Times;Serif" w:hAnsi="Times New Roman;Times;Serif"/>
          <w:b w:val="false"/>
          <w:i w:val="false"/>
          <w:caps w:val="false"/>
          <w:smallCaps w:val="false"/>
          <w:sz w:val="20"/>
        </w:rPr>
        <w:t>The following table presents the maturities of the Company’s operating lease liabilities as of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3" w:name="xdx_8B1_z3ZQI6nf6Qu8"/>
      <w:bookmarkEnd w:id="693"/>
      <w:r>
        <w:rPr>
          <w:rFonts w:ascii="Times New Roman;Times;Serif" w:hAnsi="Times New Roman;Times;Serif"/>
          <w:b w:val="false"/>
          <w:i w:val="false"/>
          <w:caps w:val="false"/>
          <w:smallCaps w:val="false"/>
          <w:sz w:val="20"/>
        </w:rPr>
        <w:t>SCHEDULE OF MATURITIES OPERATING LEASE LIABILITIES   </w:t>
      </w:r>
    </w:p>
    <w:tbl>
      <w:tblPr>
        <w:tblW w:w="4005" w:type="dxa"/>
        <w:jc w:val="left"/>
        <w:tblInd w:w="0" w:type="dxa"/>
        <w:tblLayout w:type="fixed"/>
        <w:tblCellMar>
          <w:top w:w="0" w:type="dxa"/>
          <w:left w:w="0" w:type="dxa"/>
          <w:bottom w:w="28" w:type="dxa"/>
          <w:right w:w="0" w:type="dxa"/>
        </w:tblCellMar>
      </w:tblPr>
      <w:tblGrid>
        <w:gridCol w:w="2975"/>
        <w:gridCol w:w="60"/>
        <w:gridCol w:w="202"/>
        <w:gridCol w:w="658"/>
        <w:gridCol w:w="110"/>
      </w:tblGrid>
      <w:tr>
        <w:trPr/>
        <w:tc>
          <w:tcPr>
            <w:tcW w:w="2975" w:type="dxa"/>
            <w:tcBorders>
              <w:bottom w:val="single" w:sz="8" w:space="0" w:color="000000"/>
            </w:tcBorders>
            <w:vAlign w:val="center"/>
          </w:tcPr>
          <w:p>
            <w:pPr>
              <w:pStyle w:val="TableContents"/>
              <w:bidi w:val="0"/>
              <w:spacing w:before="0" w:after="283"/>
              <w:jc w:val="center"/>
              <w:rPr>
                <w:b/>
              </w:rPr>
            </w:pPr>
            <w:r>
              <w:rPr>
                <w:b/>
              </w:rPr>
              <w:t>Fiscal Year</w:t>
            </w:r>
          </w:p>
        </w:tc>
        <w:tc>
          <w:tcPr>
            <w:tcW w:w="60" w:type="dxa"/>
            <w:tcBorders/>
            <w:tcMar>
              <w:bottom w:w="0" w:type="dxa"/>
            </w:tcMar>
            <w:vAlign w:val="center"/>
          </w:tcPr>
          <w:p>
            <w:pPr>
              <w:pStyle w:val="TableContents"/>
              <w:bidi w:val="0"/>
              <w:spacing w:before="0" w:after="283"/>
              <w:jc w:val="left"/>
              <w:rPr/>
            </w:pPr>
            <w:r>
              <w:rPr/>
              <w:t> </w:t>
            </w:r>
            <w:bookmarkStart w:id="694" w:name="xdx_493_20260630_zbzfn26VPOp5"/>
            <w:bookmarkEnd w:id="694"/>
          </w:p>
        </w:tc>
        <w:tc>
          <w:tcPr>
            <w:tcW w:w="86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bookmarkStart w:id="695" w:name="xdx_40A_eus-gaap--LesseeOperatingLeaseLi"/>
            <w:bookmarkEnd w:id="695"/>
          </w:p>
        </w:tc>
      </w:tr>
      <w:tr>
        <w:trPr/>
        <w:tc>
          <w:tcPr>
            <w:tcW w:w="2975" w:type="dxa"/>
            <w:tcBorders/>
            <w:shd w:fill="CCEEFF" w:val="clear"/>
            <w:tcMar>
              <w:bottom w:w="0" w:type="dxa"/>
            </w:tcMar>
            <w:vAlign w:val="center"/>
          </w:tcPr>
          <w:p>
            <w:pPr>
              <w:pStyle w:val="TableContents"/>
              <w:bidi w:val="0"/>
              <w:spacing w:before="0" w:after="283"/>
              <w:jc w:val="both"/>
              <w:rPr/>
            </w:pPr>
            <w:r>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w:t>
            </w:r>
          </w:p>
        </w:tc>
        <w:tc>
          <w:tcPr>
            <w:tcW w:w="658" w:type="dxa"/>
            <w:tcBorders/>
            <w:shd w:fill="CCEEFF" w:val="clear"/>
            <w:tcMar>
              <w:bottom w:w="0" w:type="dxa"/>
            </w:tcMar>
            <w:vAlign w:val="center"/>
          </w:tcPr>
          <w:p>
            <w:pPr>
              <w:pStyle w:val="TableContents"/>
              <w:bidi w:val="0"/>
              <w:spacing w:before="0" w:after="283"/>
              <w:jc w:val="right"/>
              <w:rPr/>
            </w:pPr>
            <w:r>
              <w:rPr/>
              <w:t>91</w:t>
            </w:r>
          </w:p>
        </w:tc>
        <w:tc>
          <w:tcPr>
            <w:tcW w:w="110" w:type="dxa"/>
            <w:tcBorders/>
            <w:shd w:fill="CCEEFF" w:val="clear"/>
            <w:tcMar>
              <w:bottom w:w="0" w:type="dxa"/>
            </w:tcMar>
            <w:vAlign w:val="center"/>
          </w:tcPr>
          <w:p>
            <w:pPr>
              <w:pStyle w:val="TableContents"/>
              <w:bidi w:val="0"/>
              <w:spacing w:before="0" w:after="283"/>
              <w:jc w:val="left"/>
              <w:rPr/>
            </w:pPr>
            <w:r>
              <w:rPr/>
              <w:t> </w:t>
            </w:r>
            <w:bookmarkStart w:id="696" w:name="xdx_407_eus-gaap--LesseeOperatingLeaseLi"/>
            <w:bookmarkEnd w:id="696"/>
          </w:p>
        </w:tc>
      </w:tr>
      <w:tr>
        <w:trPr/>
        <w:tc>
          <w:tcPr>
            <w:tcW w:w="2975"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658" w:type="dxa"/>
            <w:tcBorders/>
            <w:shd w:fill="FFFFFF" w:val="clear"/>
            <w:tcMar>
              <w:bottom w:w="0" w:type="dxa"/>
            </w:tcMar>
            <w:vAlign w:val="center"/>
          </w:tcPr>
          <w:p>
            <w:pPr>
              <w:pStyle w:val="TableContents"/>
              <w:bidi w:val="0"/>
              <w:spacing w:before="0" w:after="283"/>
              <w:jc w:val="right"/>
              <w:rPr/>
            </w:pPr>
            <w:r>
              <w:rPr/>
              <w:t>186</w:t>
            </w:r>
          </w:p>
        </w:tc>
        <w:tc>
          <w:tcPr>
            <w:tcW w:w="110" w:type="dxa"/>
            <w:tcBorders/>
            <w:shd w:fill="FFFFFF" w:val="clear"/>
            <w:tcMar>
              <w:bottom w:w="0" w:type="dxa"/>
            </w:tcMar>
            <w:vAlign w:val="center"/>
          </w:tcPr>
          <w:p>
            <w:pPr>
              <w:pStyle w:val="TableContents"/>
              <w:bidi w:val="0"/>
              <w:spacing w:before="0" w:after="283"/>
              <w:jc w:val="left"/>
              <w:rPr/>
            </w:pPr>
            <w:r>
              <w:rPr/>
              <w:t> </w:t>
            </w:r>
            <w:bookmarkStart w:id="697" w:name="xdx_402_eus-gaap--LesseeOperatingLeaseLi"/>
            <w:bookmarkEnd w:id="697"/>
          </w:p>
        </w:tc>
      </w:tr>
      <w:tr>
        <w:trPr/>
        <w:tc>
          <w:tcPr>
            <w:tcW w:w="2975"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right"/>
              <w:rPr/>
            </w:pPr>
            <w:r>
              <w:rPr/>
              <w:t>192</w:t>
            </w:r>
          </w:p>
        </w:tc>
        <w:tc>
          <w:tcPr>
            <w:tcW w:w="110" w:type="dxa"/>
            <w:tcBorders/>
            <w:shd w:fill="CCEEFF" w:val="clear"/>
            <w:tcMar>
              <w:bottom w:w="0" w:type="dxa"/>
            </w:tcMar>
            <w:vAlign w:val="center"/>
          </w:tcPr>
          <w:p>
            <w:pPr>
              <w:pStyle w:val="TableContents"/>
              <w:bidi w:val="0"/>
              <w:spacing w:before="0" w:after="283"/>
              <w:jc w:val="left"/>
              <w:rPr/>
            </w:pPr>
            <w:r>
              <w:rPr/>
              <w:t> </w:t>
            </w:r>
            <w:bookmarkStart w:id="698" w:name="xdx_409_eus-gaap--LesseeOperatingLeaseLi"/>
            <w:bookmarkEnd w:id="698"/>
          </w:p>
        </w:tc>
      </w:tr>
      <w:tr>
        <w:trPr/>
        <w:tc>
          <w:tcPr>
            <w:tcW w:w="2975"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658" w:type="dxa"/>
            <w:tcBorders/>
            <w:shd w:fill="FFFFFF" w:val="clear"/>
            <w:tcMar>
              <w:bottom w:w="0" w:type="dxa"/>
            </w:tcMar>
            <w:vAlign w:val="center"/>
          </w:tcPr>
          <w:p>
            <w:pPr>
              <w:pStyle w:val="TableContents"/>
              <w:bidi w:val="0"/>
              <w:spacing w:before="0" w:after="283"/>
              <w:jc w:val="right"/>
              <w:rPr/>
            </w:pPr>
            <w:r>
              <w:rPr/>
              <w:t>198</w:t>
            </w:r>
          </w:p>
        </w:tc>
        <w:tc>
          <w:tcPr>
            <w:tcW w:w="110" w:type="dxa"/>
            <w:tcBorders/>
            <w:shd w:fill="FFFFFF" w:val="clear"/>
            <w:tcMar>
              <w:bottom w:w="0" w:type="dxa"/>
            </w:tcMar>
            <w:vAlign w:val="center"/>
          </w:tcPr>
          <w:p>
            <w:pPr>
              <w:pStyle w:val="TableContents"/>
              <w:bidi w:val="0"/>
              <w:spacing w:before="0" w:after="283"/>
              <w:jc w:val="left"/>
              <w:rPr/>
            </w:pPr>
            <w:r>
              <w:rPr/>
              <w:t> </w:t>
            </w:r>
            <w:bookmarkStart w:id="699" w:name="xdx_40B_eus-gaap--LesseeOperatingLeaseLi"/>
            <w:bookmarkEnd w:id="699"/>
          </w:p>
        </w:tc>
      </w:tr>
      <w:tr>
        <w:trPr/>
        <w:tc>
          <w:tcPr>
            <w:tcW w:w="2975"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right"/>
              <w:rPr/>
            </w:pPr>
            <w:r>
              <w:rPr/>
              <w:t>204</w:t>
            </w:r>
          </w:p>
        </w:tc>
        <w:tc>
          <w:tcPr>
            <w:tcW w:w="110" w:type="dxa"/>
            <w:tcBorders/>
            <w:shd w:fill="CCEEFF" w:val="clear"/>
            <w:tcMar>
              <w:bottom w:w="0" w:type="dxa"/>
            </w:tcMar>
            <w:vAlign w:val="center"/>
          </w:tcPr>
          <w:p>
            <w:pPr>
              <w:pStyle w:val="TableContents"/>
              <w:bidi w:val="0"/>
              <w:spacing w:before="0" w:after="283"/>
              <w:jc w:val="left"/>
              <w:rPr/>
            </w:pPr>
            <w:r>
              <w:rPr/>
              <w:t> </w:t>
            </w:r>
            <w:bookmarkStart w:id="700" w:name="xdx_400_ecustom--LesseeOperatingLeaseLia"/>
            <w:bookmarkEnd w:id="700"/>
          </w:p>
        </w:tc>
      </w:tr>
      <w:tr>
        <w:trPr/>
        <w:tc>
          <w:tcPr>
            <w:tcW w:w="2975"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bottom w:val="single" w:sz="8" w:space="0" w:color="000000"/>
            </w:tcBorders>
            <w:shd w:fill="FFFFFF" w:val="clear"/>
            <w:vAlign w:val="center"/>
          </w:tcPr>
          <w:p>
            <w:pPr>
              <w:pStyle w:val="TableContents"/>
              <w:bidi w:val="0"/>
              <w:spacing w:before="0" w:after="283"/>
              <w:jc w:val="left"/>
              <w:rPr/>
            </w:pPr>
            <w:r>
              <w:rPr/>
              <w:t> </w:t>
            </w:r>
          </w:p>
        </w:tc>
        <w:tc>
          <w:tcPr>
            <w:tcW w:w="658" w:type="dxa"/>
            <w:tcBorders>
              <w:bottom w:val="single" w:sz="8" w:space="0" w:color="000000"/>
            </w:tcBorders>
            <w:shd w:fill="FFFFFF" w:val="clear"/>
            <w:vAlign w:val="center"/>
          </w:tcPr>
          <w:p>
            <w:pPr>
              <w:pStyle w:val="TableContents"/>
              <w:bidi w:val="0"/>
              <w:spacing w:before="0" w:after="283"/>
              <w:jc w:val="right"/>
              <w:rPr/>
            </w:pPr>
            <w:r>
              <w:rPr/>
              <w:t>86</w:t>
            </w:r>
          </w:p>
        </w:tc>
        <w:tc>
          <w:tcPr>
            <w:tcW w:w="110" w:type="dxa"/>
            <w:tcBorders/>
            <w:shd w:fill="FFFFFF" w:val="clear"/>
            <w:tcMar>
              <w:bottom w:w="0" w:type="dxa"/>
            </w:tcMar>
            <w:vAlign w:val="center"/>
          </w:tcPr>
          <w:p>
            <w:pPr>
              <w:pStyle w:val="TableContents"/>
              <w:bidi w:val="0"/>
              <w:spacing w:before="0" w:after="283"/>
              <w:jc w:val="left"/>
              <w:rPr/>
            </w:pPr>
            <w:r>
              <w:rPr/>
              <w:t> </w:t>
            </w:r>
            <w:bookmarkStart w:id="701" w:name="xdx_404_eus-gaap--LesseeOperatingLeaseLi"/>
            <w:bookmarkEnd w:id="701"/>
          </w:p>
        </w:tc>
      </w:tr>
      <w:tr>
        <w:trPr/>
        <w:tc>
          <w:tcPr>
            <w:tcW w:w="2975" w:type="dxa"/>
            <w:tcBorders/>
            <w:shd w:fill="CCEEFF" w:val="clear"/>
            <w:tcMar>
              <w:bottom w:w="0" w:type="dxa"/>
            </w:tcMar>
            <w:vAlign w:val="center"/>
          </w:tcPr>
          <w:p>
            <w:pPr>
              <w:pStyle w:val="TableContents"/>
              <w:bidi w:val="0"/>
              <w:spacing w:before="0" w:after="283"/>
              <w:jc w:val="both"/>
              <w:rPr/>
            </w:pPr>
            <w:r>
              <w:rPr/>
              <w:t>Undiscounted cash flows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right"/>
              <w:rPr/>
            </w:pPr>
            <w:r>
              <w:rPr/>
              <w:t>957</w:t>
            </w:r>
          </w:p>
        </w:tc>
        <w:tc>
          <w:tcPr>
            <w:tcW w:w="110" w:type="dxa"/>
            <w:tcBorders/>
            <w:shd w:fill="CCEEFF" w:val="clear"/>
            <w:tcMar>
              <w:bottom w:w="0" w:type="dxa"/>
            </w:tcMar>
            <w:vAlign w:val="center"/>
          </w:tcPr>
          <w:p>
            <w:pPr>
              <w:pStyle w:val="TableContents"/>
              <w:bidi w:val="0"/>
              <w:spacing w:before="0" w:after="283"/>
              <w:jc w:val="left"/>
              <w:rPr/>
            </w:pPr>
            <w:r>
              <w:rPr/>
              <w:t> </w:t>
            </w:r>
            <w:bookmarkStart w:id="702" w:name="xdx_402_eus-gaap--LesseeOperatingLeaseLi"/>
            <w:bookmarkEnd w:id="702"/>
          </w:p>
        </w:tc>
      </w:tr>
      <w:tr>
        <w:trPr/>
        <w:tc>
          <w:tcPr>
            <w:tcW w:w="2975" w:type="dxa"/>
            <w:tcBorders/>
            <w:shd w:fill="FFFFFF" w:val="clear"/>
            <w:tcMar>
              <w:bottom w:w="0" w:type="dxa"/>
            </w:tcMar>
            <w:vAlign w:val="center"/>
          </w:tcPr>
          <w:p>
            <w:pPr>
              <w:pStyle w:val="TableContents"/>
              <w:bidi w:val="0"/>
              <w:spacing w:before="0" w:after="283"/>
              <w:jc w:val="both"/>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bottom w:val="single" w:sz="8" w:space="0" w:color="000000"/>
            </w:tcBorders>
            <w:shd w:fill="FFFFFF" w:val="clear"/>
            <w:vAlign w:val="center"/>
          </w:tcPr>
          <w:p>
            <w:pPr>
              <w:pStyle w:val="TableContents"/>
              <w:bidi w:val="0"/>
              <w:spacing w:before="0" w:after="283"/>
              <w:jc w:val="left"/>
              <w:rPr/>
            </w:pPr>
            <w:r>
              <w:rPr/>
              <w:t> </w:t>
            </w:r>
          </w:p>
        </w:tc>
        <w:tc>
          <w:tcPr>
            <w:tcW w:w="658" w:type="dxa"/>
            <w:tcBorders>
              <w:bottom w:val="single" w:sz="8" w:space="0" w:color="000000"/>
            </w:tcBorders>
            <w:shd w:fill="FFFFFF" w:val="clear"/>
            <w:vAlign w:val="center"/>
          </w:tcPr>
          <w:p>
            <w:pPr>
              <w:pStyle w:val="TableContents"/>
              <w:bidi w:val="0"/>
              <w:spacing w:before="0" w:after="283"/>
              <w:jc w:val="right"/>
              <w:rPr/>
            </w:pPr>
            <w:r>
              <w:rPr/>
              <w:t>(157</w:t>
            </w:r>
          </w:p>
        </w:tc>
        <w:tc>
          <w:tcPr>
            <w:tcW w:w="110" w:type="dxa"/>
            <w:tcBorders/>
            <w:shd w:fill="FFFFFF" w:val="clear"/>
            <w:tcMar>
              <w:bottom w:w="0" w:type="dxa"/>
            </w:tcMar>
            <w:vAlign w:val="center"/>
          </w:tcPr>
          <w:p>
            <w:pPr>
              <w:pStyle w:val="TableContents"/>
              <w:bidi w:val="0"/>
              <w:spacing w:before="0" w:after="283"/>
              <w:jc w:val="left"/>
              <w:rPr/>
            </w:pPr>
            <w:r>
              <w:rPr/>
              <w:t>)</w:t>
            </w:r>
            <w:bookmarkStart w:id="703" w:name="xdx_407_eus-gaap--OperatingLeaseLiabilit"/>
            <w:bookmarkEnd w:id="703"/>
          </w:p>
        </w:tc>
      </w:tr>
      <w:tr>
        <w:trPr/>
        <w:tc>
          <w:tcPr>
            <w:tcW w:w="2975" w:type="dxa"/>
            <w:tcBorders/>
            <w:shd w:fill="CCEEFF" w:val="clear"/>
            <w:tcMar>
              <w:bottom w:w="0" w:type="dxa"/>
            </w:tcMar>
            <w:vAlign w:val="center"/>
          </w:tcPr>
          <w:p>
            <w:pPr>
              <w:pStyle w:val="TableContents"/>
              <w:bidi w:val="0"/>
              <w:spacing w:before="0" w:after="283"/>
              <w:jc w:val="both"/>
              <w:rPr/>
            </w:pPr>
            <w:r>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double" w:sz="6" w:space="0" w:color="000000"/>
            </w:tcBorders>
            <w:shd w:fill="CCEEFF" w:val="clear"/>
            <w:vAlign w:val="center"/>
          </w:tcPr>
          <w:p>
            <w:pPr>
              <w:pStyle w:val="TableContents"/>
              <w:bidi w:val="0"/>
              <w:spacing w:before="0" w:after="283"/>
              <w:jc w:val="left"/>
              <w:rPr/>
            </w:pPr>
            <w:r>
              <w:rPr/>
              <w:t>$</w:t>
            </w:r>
          </w:p>
        </w:tc>
        <w:tc>
          <w:tcPr>
            <w:tcW w:w="658" w:type="dxa"/>
            <w:tcBorders>
              <w:bottom w:val="double" w:sz="6" w:space="0" w:color="000000"/>
            </w:tcBorders>
            <w:shd w:fill="CCEEFF" w:val="clear"/>
            <w:vAlign w:val="center"/>
          </w:tcPr>
          <w:p>
            <w:pPr>
              <w:pStyle w:val="TableContents"/>
              <w:bidi w:val="0"/>
              <w:spacing w:before="0" w:after="283"/>
              <w:jc w:val="right"/>
              <w:rPr/>
            </w:pPr>
            <w:r>
              <w:rPr/>
              <w:t>800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04" w:name="xdx_8A2_zE5AzJp0cHwc"/>
      <w:bookmarkEnd w:id="7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the Company’s operating lease was as follows: cash paid for amounts included in the measurement of the operating lease liability was $</w:t>
      </w:r>
      <w:bookmarkStart w:id="705" w:name="xdx_900_ecustom--OperatingLeaseLiability"/>
      <w:bookmarkEnd w:id="705"/>
      <w:r>
        <w:rPr>
          <w:rFonts w:ascii="Times New Roman;Times;Serif" w:hAnsi="Times New Roman;Times;Serif"/>
          <w:b w:val="false"/>
          <w:i w:val="false"/>
          <w:caps w:val="false"/>
          <w:smallCaps w:val="false"/>
          <w:sz w:val="20"/>
        </w:rPr>
        <w:t>11 for the six months ended June 30, 2026. In June 2026, the Company recognized a right-of-use asset and a corresponding operating lease liability of $</w:t>
      </w:r>
      <w:bookmarkStart w:id="706" w:name="xdx_90F_ecustom--AcquisitionOfAssetsAndL"/>
      <w:bookmarkEnd w:id="706"/>
      <w:r>
        <w:rPr>
          <w:rFonts w:ascii="Times New Roman;Times;Serif" w:hAnsi="Times New Roman;Times;Serif"/>
          <w:b w:val="false"/>
          <w:i w:val="false"/>
          <w:caps w:val="false"/>
          <w:smallCaps w:val="false"/>
          <w:sz w:val="20"/>
        </w:rPr>
        <w:t>810 upon commencement of the lease, presented as a non-cash investing and financing activity in the unaudited condensed consolidated statements of cash flows. As of June 30, 2026, the right-of-use asset was $</w:t>
      </w:r>
      <w:bookmarkStart w:id="707" w:name="xdx_90F_eus-gaap--OperatingLeaseRightOfU"/>
      <w:bookmarkEnd w:id="707"/>
      <w:r>
        <w:rPr>
          <w:rFonts w:ascii="Times New Roman;Times;Serif" w:hAnsi="Times New Roman;Times;Serif"/>
          <w:b w:val="false"/>
          <w:i w:val="false"/>
          <w:caps w:val="false"/>
          <w:smallCaps w:val="false"/>
          <w:sz w:val="20"/>
        </w:rPr>
        <w:t>799 and the total operating lease liability was $</w:t>
      </w:r>
      <w:bookmarkStart w:id="708" w:name="xdx_90A_eus-gaap--OperatingLeaseLiabilit"/>
      <w:bookmarkEnd w:id="708"/>
      <w:r>
        <w:rPr>
          <w:rFonts w:ascii="Times New Roman;Times;Serif" w:hAnsi="Times New Roman;Times;Serif"/>
          <w:b w:val="false"/>
          <w:i w:val="false"/>
          <w:caps w:val="false"/>
          <w:smallCaps w:val="false"/>
          <w:sz w:val="20"/>
        </w:rPr>
        <w:t>800. The right-of-use asset reflects the $</w:t>
      </w:r>
      <w:bookmarkStart w:id="709" w:name="xdx_902_ecustom--AmortizationRightofuseA"/>
      <w:bookmarkEnd w:id="709"/>
      <w:r>
        <w:rPr>
          <w:rFonts w:ascii="Times New Roman;Times;Serif" w:hAnsi="Times New Roman;Times;Serif"/>
          <w:b w:val="false"/>
          <w:i w:val="false"/>
          <w:caps w:val="false"/>
          <w:smallCaps w:val="false"/>
          <w:sz w:val="20"/>
        </w:rPr>
        <w:t>810 recognized at commencement, reduced by amortization since commencement; the difference between the right-of-use asset and the lease liability results from the recognition of lease cost on a straight-line basis, consistent with the subsequent measurement of operating leases under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cost, consisting of the Company’s pro rata share of the property’s electricity costs billed as additional rent, was less than $</w:t>
      </w:r>
      <w:bookmarkStart w:id="710" w:name="xdx_902_eus-gaap--VariableLeaseCost_pn3n"/>
      <w:bookmarkStart w:id="711" w:name="xdx_908_eus-gaap--VariableLeaseCost_pn3n"/>
      <w:bookmarkEnd w:id="710"/>
      <w:bookmarkEnd w:id="711"/>
      <w:r>
        <w:rPr>
          <w:rFonts w:ascii="Times New Roman;Times;Serif" w:hAnsi="Times New Roman;Times;Serif"/>
          <w:b w:val="false"/>
          <w:i w:val="false"/>
          <w:caps w:val="false"/>
          <w:smallCaps w:val="false"/>
          <w:sz w:val="20"/>
        </w:rPr>
        <w:t>1 for each of the three and six months ended June 30, 2026. The short-term lease cost recognized for the three and six months ended June 30, 2026 relates to month-to-month office arrangements that were replaced by the Company’s long-term operating lease that commenced in June 2026; accordingly, the Company’s short-term lease commitments for the twelve months following June 30, 2026 are not expected to be material.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2" w:name="xdx_809_eus-gaap--StockholdersEquityNote"/>
      <w:bookmarkEnd w:id="712"/>
      <w:r>
        <w:rPr>
          <w:rFonts w:ascii="Times New Roman;Times;Serif" w:hAnsi="Times New Roman;Times;Serif"/>
          <w:b/>
          <w:i w:val="false"/>
          <w:caps w:val="false"/>
          <w:smallCaps w:val="false"/>
          <w:sz w:val="20"/>
        </w:rPr>
        <w:t>NOTE 16</w:t>
      </w:r>
      <w:r>
        <w:rPr>
          <w:rFonts w:ascii="Times New Roman;Times;Serif" w:hAnsi="Times New Roman;Times;Serif"/>
          <w:b w:val="false"/>
          <w:i w:val="false"/>
          <w:caps w:val="false"/>
          <w:smallCaps w:val="false"/>
          <w:sz w:val="20"/>
        </w:rPr>
        <w:t xml:space="preserve"> – </w:t>
      </w:r>
      <w:bookmarkStart w:id="713" w:name="xdx_82F_zNYyyrkAI6L4"/>
      <w:bookmarkEnd w:id="713"/>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714" w:name="xdx_90F_eus-gaap--PreferredStockSharesAu"/>
      <w:bookmarkEnd w:id="714"/>
      <w:r>
        <w:rPr>
          <w:rFonts w:ascii="Times New Roman;Times;Serif" w:hAnsi="Times New Roman;Times;Serif"/>
          <w:b w:val="false"/>
          <w:i w:val="false"/>
          <w:caps w:val="false"/>
          <w:smallCaps w:val="false"/>
          <w:sz w:val="20"/>
        </w:rPr>
        <w:t>1,000,000 shares of $</w:t>
      </w:r>
      <w:bookmarkStart w:id="715" w:name="xdx_900_eus-gaap--PreferredStockParOrSta"/>
      <w:bookmarkEnd w:id="715"/>
      <w:r>
        <w:rPr>
          <w:rFonts w:ascii="Times New Roman;Times;Serif" w:hAnsi="Times New Roman;Times;Serif"/>
          <w:b w:val="false"/>
          <w:i w:val="false"/>
          <w:caps w:val="false"/>
          <w:smallCaps w:val="false"/>
          <w:sz w:val="20"/>
        </w:rPr>
        <w:t xml:space="preserve">0.001 par value preferred stock. As of June 30, 2026 and December 31, 2025, the Company has designated </w:t>
      </w:r>
      <w:bookmarkStart w:id="716" w:name="xdx_907_eus-gaap--PreferredStockSharesAu"/>
      <w:bookmarkStart w:id="717" w:name="xdx_90F_eus-gaap--PreferredStockSharesAu"/>
      <w:bookmarkEnd w:id="716"/>
      <w:bookmarkEnd w:id="717"/>
      <w:r>
        <w:rPr>
          <w:rFonts w:ascii="Times New Roman;Times;Serif" w:hAnsi="Times New Roman;Times;Serif"/>
          <w:b w:val="false"/>
          <w:i w:val="false"/>
          <w:caps w:val="false"/>
          <w:smallCaps w:val="false"/>
          <w:sz w:val="20"/>
        </w:rPr>
        <w:t xml:space="preserve">200 shares of Series A preferred stock, </w:t>
      </w:r>
      <w:bookmarkStart w:id="718" w:name="xdx_90C_eus-gaap--PreferredStockSharesAu"/>
      <w:bookmarkStart w:id="719" w:name="xdx_90A_eus-gaap--PreferredStockSharesAu"/>
      <w:bookmarkEnd w:id="718"/>
      <w:bookmarkEnd w:id="719"/>
      <w:r>
        <w:rPr>
          <w:rFonts w:ascii="Times New Roman;Times;Serif" w:hAnsi="Times New Roman;Times;Serif"/>
          <w:b w:val="false"/>
          <w:i w:val="false"/>
          <w:caps w:val="false"/>
          <w:smallCaps w:val="false"/>
          <w:sz w:val="20"/>
        </w:rPr>
        <w:t xml:space="preserve">600 shares of Series B preferred stock, </w:t>
      </w:r>
      <w:bookmarkStart w:id="720" w:name="xdx_907_eus-gaap--PreferredStockSharesAu"/>
      <w:bookmarkStart w:id="721" w:name="xdx_907_eus-gaap--PreferredStockSharesAu"/>
      <w:bookmarkEnd w:id="720"/>
      <w:bookmarkEnd w:id="721"/>
      <w:r>
        <w:rPr>
          <w:rFonts w:ascii="Times New Roman;Times;Serif" w:hAnsi="Times New Roman;Times;Serif"/>
          <w:b w:val="false"/>
          <w:i w:val="false"/>
          <w:caps w:val="false"/>
          <w:smallCaps w:val="false"/>
          <w:sz w:val="20"/>
        </w:rPr>
        <w:t xml:space="preserve">4,200 shares of Series C Preferred Stock, </w:t>
      </w:r>
      <w:bookmarkStart w:id="722" w:name="xdx_906_eus-gaap--PreferredStockSharesAu"/>
      <w:bookmarkStart w:id="723" w:name="xdx_908_eus-gaap--PreferredStockSharesAu"/>
      <w:bookmarkEnd w:id="722"/>
      <w:bookmarkEnd w:id="723"/>
      <w:r>
        <w:rPr>
          <w:rFonts w:ascii="Times New Roman;Times;Serif" w:hAnsi="Times New Roman;Times;Serif"/>
          <w:b w:val="false"/>
          <w:i w:val="false"/>
          <w:caps w:val="false"/>
          <w:smallCaps w:val="false"/>
          <w:sz w:val="20"/>
        </w:rPr>
        <w:t xml:space="preserve">1,400 shares of Series D Preferred Stock, </w:t>
      </w:r>
      <w:bookmarkStart w:id="724" w:name="xdx_904_eus-gaap--PreferredStockSharesAu"/>
      <w:bookmarkStart w:id="725" w:name="xdx_903_eus-gaap--PreferredStockSharesAu"/>
      <w:bookmarkEnd w:id="724"/>
      <w:bookmarkEnd w:id="725"/>
      <w:r>
        <w:rPr>
          <w:rFonts w:ascii="Times New Roman;Times;Serif" w:hAnsi="Times New Roman;Times;Serif"/>
          <w:b w:val="false"/>
          <w:i w:val="false"/>
          <w:caps w:val="false"/>
          <w:smallCaps w:val="false"/>
          <w:sz w:val="20"/>
        </w:rPr>
        <w:t xml:space="preserve">1,000 shares of Series E Preferred Stock, </w:t>
      </w:r>
      <w:bookmarkStart w:id="726" w:name="xdx_90B_eus-gaap--PreferredStockSharesAu"/>
      <w:bookmarkStart w:id="727" w:name="xdx_908_eus-gaap--PreferredStockSharesAu"/>
      <w:bookmarkEnd w:id="726"/>
      <w:bookmarkEnd w:id="727"/>
      <w:r>
        <w:rPr>
          <w:rFonts w:ascii="Times New Roman;Times;Serif" w:hAnsi="Times New Roman;Times;Serif"/>
          <w:b w:val="false"/>
          <w:i w:val="false"/>
          <w:caps w:val="false"/>
          <w:smallCaps w:val="false"/>
          <w:sz w:val="20"/>
        </w:rPr>
        <w:t>200,000 shares of Series F Preferred Stock and 1 Special Voting Preferred Stock. As of June 30, 2026 and December 31, 2025, there were no issued or outstanding shares of Series A, Series B, Series D, Series E and Series 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Voting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Exchangeable Shares, the Company designated one share of Special Voting Preferred Stock, par value $</w:t>
      </w:r>
      <w:bookmarkStart w:id="728" w:name="xdx_909_eus-gaap--PreferredStockParOrSta"/>
      <w:bookmarkEnd w:id="728"/>
      <w:r>
        <w:rPr>
          <w:rFonts w:ascii="Times New Roman;Times;Serif" w:hAnsi="Times New Roman;Times;Serif"/>
          <w:b w:val="false"/>
          <w:i w:val="false"/>
          <w:caps w:val="false"/>
          <w:smallCaps w:val="false"/>
          <w:sz w:val="20"/>
        </w:rPr>
        <w:t>0.001 per share. One share of Special Voting Preferred Stock was issued and outstanding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Voting Preferred Stock was issued to a trustee and does not have any economic rights, including rights to dividends or participation in liquidation, other than a nominal liquidation preference of $</w:t>
      </w:r>
      <w:bookmarkStart w:id="729" w:name="xdx_90B_eus-gaap--TemporaryEquityLiquida"/>
      <w:bookmarkEnd w:id="729"/>
      <w:r>
        <w:rPr>
          <w:rFonts w:ascii="Times New Roman;Times;Serif" w:hAnsi="Times New Roman;Times;Serif"/>
          <w:b w:val="false"/>
          <w:i w:val="false"/>
          <w:caps w:val="false"/>
          <w:smallCaps w:val="false"/>
          <w:sz w:val="20"/>
        </w:rPr>
        <w:t>1.00. The Special Voting Preferred Stock is not convertible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sole purpose of the Special Voting Preferred Stock is to provide voting rights to holders of Exchangeable Shares on an equivalent basis with holders of the Company’s common stock. The holder of the Special Voting Preferred Stock is entitled to cast a number of votes equal to the aggregate number of votes that the holders of Exchangeable Shares would be entitled to cast if such Exchangeable Shares were exchanged for shares of the Company’s common stock, in accordance with the Exchange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rights associated with the Special Voting Preferred Stock terminate automatically upon the exchange or cancellation of all outstanding Exchangeable Shares, at which time the Special Voting Preferred Stock is automatically cancelled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Series C Preferred Stock (“Series C”) issued and outstanding totaled </w:t>
      </w:r>
      <w:bookmarkStart w:id="730" w:name="xdx_900_eus-gaap--PreferredStockSharesOu"/>
      <w:bookmarkStart w:id="731" w:name="xdx_90E_eus-gaap--PreferredStockSharesOu"/>
      <w:bookmarkStart w:id="732" w:name="xdx_90D_eus-gaap--PreferredStockSharesIs"/>
      <w:bookmarkStart w:id="733" w:name="xdx_905_eus-gaap--PreferredStockSharesIs"/>
      <w:bookmarkEnd w:id="730"/>
      <w:bookmarkEnd w:id="731"/>
      <w:bookmarkEnd w:id="732"/>
      <w:bookmarkEnd w:id="733"/>
      <w:r>
        <w:rPr>
          <w:rFonts w:ascii="Times New Roman;Times;Serif" w:hAnsi="Times New Roman;Times;Serif"/>
          <w:b w:val="false"/>
          <w:i w:val="false"/>
          <w:caps w:val="false"/>
          <w:smallCaps w:val="false"/>
          <w:sz w:val="20"/>
        </w:rPr>
        <w:t>105 shares as of June 30, 2026, and December 31, 2025. As of June 30, 2026, and December 31, 2025, the Company has accrued $</w:t>
      </w:r>
      <w:bookmarkStart w:id="734" w:name="xdx_906_eus-gaap--DividendsPayableCurren"/>
      <w:bookmarkEnd w:id="734"/>
      <w:r>
        <w:rPr>
          <w:rFonts w:ascii="Times New Roman;Times;Serif" w:hAnsi="Times New Roman;Times;Serif"/>
          <w:b w:val="false"/>
          <w:i w:val="false"/>
          <w:caps w:val="false"/>
          <w:smallCaps w:val="false"/>
          <w:sz w:val="20"/>
        </w:rPr>
        <w:t>126 and $</w:t>
      </w:r>
      <w:bookmarkStart w:id="735" w:name="xdx_90D_eus-gaap--DividendsPayableCurren"/>
      <w:bookmarkEnd w:id="735"/>
      <w:r>
        <w:rPr>
          <w:rFonts w:ascii="Times New Roman;Times;Serif" w:hAnsi="Times New Roman;Times;Serif"/>
          <w:b w:val="false"/>
          <w:i w:val="false"/>
          <w:caps w:val="false"/>
          <w:smallCaps w:val="false"/>
          <w:sz w:val="20"/>
        </w:rPr>
        <w:t>121 dividends payable on the Series C, respectively. As of June 30, 2026, and December 31, 2025, the cumulative dividend per share payable on the Series C was approximately $</w:t>
      </w:r>
      <w:bookmarkStart w:id="736" w:name="xdx_90A_ecustom--CumulativeDividendsPaya"/>
      <w:bookmarkEnd w:id="736"/>
      <w:r>
        <w:rPr>
          <w:rFonts w:ascii="Times New Roman;Times;Serif" w:hAnsi="Times New Roman;Times;Serif"/>
          <w:b w:val="false"/>
          <w:i w:val="false"/>
          <w:caps w:val="false"/>
          <w:smallCaps w:val="false"/>
          <w:sz w:val="20"/>
        </w:rPr>
        <w:t>1,197 and $</w:t>
      </w:r>
      <w:bookmarkStart w:id="737" w:name="xdx_900_ecustom--CumulativeDividendsPaya"/>
      <w:bookmarkEnd w:id="737"/>
      <w:r>
        <w:rPr>
          <w:rFonts w:ascii="Times New Roman;Times;Serif" w:hAnsi="Times New Roman;Times;Serif"/>
          <w:b w:val="false"/>
          <w:i w:val="false"/>
          <w:caps w:val="false"/>
          <w:smallCaps w:val="false"/>
          <w:sz w:val="20"/>
        </w:rPr>
        <w:t>1,153,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is convertible at the holder’s option into shares of common stock at a conversion price of $</w:t>
      </w:r>
      <w:bookmarkStart w:id="738" w:name="xdx_905_eus-gaap--CommonStockConvertible"/>
      <w:bookmarkEnd w:id="738"/>
      <w:r>
        <w:rPr>
          <w:rFonts w:ascii="Times New Roman;Times;Serif" w:hAnsi="Times New Roman;Times;Serif"/>
          <w:b w:val="false"/>
          <w:i w:val="false"/>
          <w:caps w:val="false"/>
          <w:smallCaps w:val="false"/>
          <w:sz w:val="20"/>
        </w:rPr>
        <w:t>0.3197 per share, based on the stated value of $</w:t>
      </w:r>
      <w:bookmarkStart w:id="739" w:name="xdx_90D_eus-gaap--SharesIssuedPricePerSh"/>
      <w:bookmarkEnd w:id="739"/>
      <w:r>
        <w:rPr>
          <w:rFonts w:ascii="Times New Roman;Times;Serif" w:hAnsi="Times New Roman;Times;Serif"/>
          <w:b w:val="false"/>
          <w:i w:val="false"/>
          <w:caps w:val="false"/>
          <w:smallCaps w:val="false"/>
          <w:sz w:val="20"/>
        </w:rPr>
        <w:t xml:space="preserve">1,000 per preferred share. As of June 30, 2026, the outstanding Series C shares were convertible into an aggregate of </w:t>
      </w:r>
      <w:bookmarkStart w:id="740" w:name="xdx_909_eus-gaap--ConversionOfStockShare"/>
      <w:bookmarkEnd w:id="740"/>
      <w:r>
        <w:rPr>
          <w:rFonts w:ascii="Times New Roman;Times;Serif" w:hAnsi="Times New Roman;Times;Serif"/>
          <w:b w:val="false"/>
          <w:i w:val="false"/>
          <w:caps w:val="false"/>
          <w:smallCaps w:val="false"/>
          <w:sz w:val="20"/>
        </w:rPr>
        <w:t xml:space="preserve">501,725 shares of common stock, including </w:t>
      </w:r>
      <w:bookmarkStart w:id="741" w:name="xdx_90C_eus-gaap--StockIssuedDuringPerio"/>
      <w:bookmarkEnd w:id="741"/>
      <w:r>
        <w:rPr>
          <w:rFonts w:ascii="Times New Roman;Times;Serif" w:hAnsi="Times New Roman;Times;Serif"/>
          <w:b w:val="false"/>
          <w:i w:val="false"/>
          <w:caps w:val="false"/>
          <w:smallCaps w:val="false"/>
          <w:sz w:val="20"/>
        </w:rPr>
        <w:t>173,292 shares issuable upon conversion of accrued dividends based on the applicable dividend conversion price of approximately $</w:t>
      </w:r>
      <w:bookmarkStart w:id="742" w:name="xdx_90D_eus-gaap--PreferredStockConverti"/>
      <w:bookmarkEnd w:id="742"/>
      <w:r>
        <w:rPr>
          <w:rFonts w:ascii="Times New Roman;Times;Serif" w:hAnsi="Times New Roman;Times;Serif"/>
          <w:b w:val="false"/>
          <w:i w:val="false"/>
          <w:caps w:val="false"/>
          <w:smallCaps w:val="false"/>
          <w:sz w:val="20"/>
        </w:rPr>
        <w:t>0.7255 per share. The Series C is subject to full ratchet anti-dilution price protection upon issuance of equity or equity-linked securities at an effective price below $</w:t>
      </w:r>
      <w:bookmarkStart w:id="743" w:name="xdx_90B_ecustom--PreferredStockConvertib"/>
      <w:bookmarkEnd w:id="743"/>
      <w:r>
        <w:rPr>
          <w:rFonts w:ascii="Times New Roman;Times;Serif" w:hAnsi="Times New Roman;Times;Serif"/>
          <w:b w:val="false"/>
          <w:i w:val="false"/>
          <w:caps w:val="false"/>
          <w:smallCaps w:val="false"/>
          <w:sz w:val="20"/>
        </w:rPr>
        <w:t>0.3197 per share, as well as customary anti-dilution adjustments for stock splits and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744" w:name="xdx_908_eus-gaap--CommonStockSharesAutho"/>
      <w:bookmarkEnd w:id="744"/>
      <w:r>
        <w:rPr>
          <w:rFonts w:ascii="Times New Roman;Times;Serif" w:hAnsi="Times New Roman;Times;Serif"/>
          <w:b w:val="false"/>
          <w:i w:val="false"/>
          <w:caps w:val="false"/>
          <w:smallCaps w:val="false"/>
          <w:sz w:val="20"/>
        </w:rPr>
        <w:t>500,000,000 shares of $</w:t>
      </w:r>
      <w:bookmarkStart w:id="745" w:name="xdx_905_eus-gaap--CommonStockParOrStated"/>
      <w:bookmarkEnd w:id="745"/>
      <w:r>
        <w:rPr>
          <w:rFonts w:ascii="Times New Roman;Times;Serif" w:hAnsi="Times New Roman;Times;Serif"/>
          <w:b w:val="false"/>
          <w:i w:val="false"/>
          <w:caps w:val="false"/>
          <w:smallCaps w:val="false"/>
          <w:sz w:val="20"/>
        </w:rPr>
        <w:t xml:space="preserve">0.001 par value common stock. As of June 30, 2026, and December 31, 2025, the Company had </w:t>
      </w:r>
      <w:bookmarkStart w:id="746" w:name="xdx_90C_eus-gaap--CommonStockSharesOutst"/>
      <w:bookmarkStart w:id="747" w:name="xdx_90C_eus-gaap--CommonStockSharesIssue"/>
      <w:bookmarkEnd w:id="746"/>
      <w:bookmarkEnd w:id="747"/>
      <w:r>
        <w:rPr>
          <w:rFonts w:ascii="Times New Roman;Times;Serif" w:hAnsi="Times New Roman;Times;Serif"/>
          <w:b w:val="false"/>
          <w:i w:val="false"/>
          <w:caps w:val="false"/>
          <w:smallCaps w:val="false"/>
          <w:sz w:val="20"/>
        </w:rPr>
        <w:t xml:space="preserve">112,622,795 and </w:t>
      </w:r>
      <w:bookmarkStart w:id="748" w:name="xdx_90B_eus-gaap--CommonStockSharesOutst"/>
      <w:bookmarkStart w:id="749" w:name="xdx_900_eus-gaap--CommonStockSharesIssue"/>
      <w:bookmarkEnd w:id="748"/>
      <w:bookmarkEnd w:id="749"/>
      <w:r>
        <w:rPr>
          <w:rFonts w:ascii="Times New Roman;Times;Serif" w:hAnsi="Times New Roman;Times;Serif"/>
          <w:b w:val="false"/>
          <w:i w:val="false"/>
          <w:caps w:val="false"/>
          <w:smallCaps w:val="false"/>
          <w:sz w:val="20"/>
        </w:rPr>
        <w:t>49,805,275 shares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Exchangeable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had </w:t>
      </w:r>
      <w:bookmarkStart w:id="750" w:name="xdx_903_eus-gaap--ConversionOfStockShare"/>
      <w:bookmarkEnd w:id="750"/>
      <w:r>
        <w:rPr>
          <w:rFonts w:ascii="Times New Roman;Times;Serif" w:hAnsi="Times New Roman;Times;Serif"/>
          <w:b w:val="false"/>
          <w:i w:val="false"/>
          <w:caps w:val="false"/>
          <w:smallCaps w:val="false"/>
          <w:sz w:val="20"/>
        </w:rPr>
        <w:t xml:space="preserve">69,598,196 and </w:t>
      </w:r>
      <w:bookmarkStart w:id="751" w:name="xdx_907_eus-gaap--ConversionOfStockShare"/>
      <w:bookmarkEnd w:id="751"/>
      <w:r>
        <w:rPr>
          <w:rFonts w:ascii="Times New Roman;Times;Serif" w:hAnsi="Times New Roman;Times;Serif"/>
          <w:b w:val="false"/>
          <w:i w:val="false"/>
          <w:caps w:val="false"/>
          <w:smallCaps w:val="false"/>
          <w:sz w:val="20"/>
        </w:rPr>
        <w:t xml:space="preserve">107,991,931 Exchangeable Shares outstanding, respectively. Of the </w:t>
      </w:r>
      <w:bookmarkStart w:id="752" w:name="xdx_90D_eus-gaap--SaleOfStockNumberOfSha"/>
      <w:bookmarkEnd w:id="752"/>
      <w:r>
        <w:rPr>
          <w:rFonts w:ascii="Times New Roman;Times;Serif" w:hAnsi="Times New Roman;Times;Serif"/>
          <w:b w:val="false"/>
          <w:i w:val="false"/>
          <w:caps w:val="false"/>
          <w:smallCaps w:val="false"/>
          <w:sz w:val="20"/>
        </w:rPr>
        <w:t xml:space="preserve">109,070,079 Exchangeable Shares originally issued in connection with the Streamex Exchange acquisition on May 28, 2025, </w:t>
      </w:r>
      <w:bookmarkStart w:id="753" w:name="xdx_905_eus-gaap--ConversionOfStockShare"/>
      <w:bookmarkEnd w:id="753"/>
      <w:r>
        <w:rPr>
          <w:rFonts w:ascii="Times New Roman;Times;Serif" w:hAnsi="Times New Roman;Times;Serif"/>
          <w:b w:val="false"/>
          <w:i w:val="false"/>
          <w:caps w:val="false"/>
          <w:smallCaps w:val="false"/>
          <w:sz w:val="20"/>
        </w:rPr>
        <w:t xml:space="preserve">1,078,148 were converted into shares of the Company’s common stock from the issuance date through December 31, 2025, and an additional </w:t>
      </w:r>
      <w:bookmarkStart w:id="754" w:name="xdx_909_eus-gaap--ConversionOfStockShare"/>
      <w:bookmarkEnd w:id="754"/>
      <w:r>
        <w:rPr>
          <w:rFonts w:ascii="Times New Roman;Times;Serif" w:hAnsi="Times New Roman;Times;Serif"/>
          <w:b w:val="false"/>
          <w:i w:val="false"/>
          <w:caps w:val="false"/>
          <w:smallCaps w:val="false"/>
          <w:sz w:val="20"/>
        </w:rPr>
        <w:t>38,393,735 were converted during the six months ended June 30, 2026. Each Exchangeable Share is exchangeable on a one-for-one basis for a share of the Company’s common stock, subject to the terms of the exchange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22, 2026, the Company entered into an underwriting agreement with Needham &amp; Company, LLC, as representative of the several underwriters, in connection with an underwritten public offering of the Company’s common stock. The Company issued </w:t>
      </w:r>
      <w:bookmarkStart w:id="755" w:name="xdx_90C_eus-gaap--SaleOfStockNumberOfSha"/>
      <w:bookmarkEnd w:id="755"/>
      <w:r>
        <w:rPr>
          <w:rFonts w:ascii="Times New Roman;Times;Serif" w:hAnsi="Times New Roman;Times;Serif"/>
          <w:b w:val="false"/>
          <w:i w:val="false"/>
          <w:caps w:val="false"/>
          <w:smallCaps w:val="false"/>
          <w:sz w:val="20"/>
        </w:rPr>
        <w:t>11,666,667 shares of common stock at a public offering price of $</w:t>
      </w:r>
      <w:bookmarkStart w:id="756" w:name="xdx_908_eus-gaap--SharePrice_iI_pid_c202"/>
      <w:bookmarkEnd w:id="756"/>
      <w:r>
        <w:rPr>
          <w:rFonts w:ascii="Times New Roman;Times;Serif" w:hAnsi="Times New Roman;Times;Serif"/>
          <w:b w:val="false"/>
          <w:i w:val="false"/>
          <w:caps w:val="false"/>
          <w:smallCaps w:val="false"/>
          <w:sz w:val="20"/>
        </w:rPr>
        <w:t xml:space="preserve">3.00 per share. The underwriters fully exercised their over-allotment option, resulting in the issuance of an additional </w:t>
      </w:r>
      <w:bookmarkStart w:id="757" w:name="xdx_90C_eus-gaap--StockholdersEquityNote"/>
      <w:bookmarkEnd w:id="757"/>
      <w:r>
        <w:rPr>
          <w:rFonts w:ascii="Times New Roman;Times;Serif" w:hAnsi="Times New Roman;Times;Serif"/>
          <w:b w:val="false"/>
          <w:i w:val="false"/>
          <w:caps w:val="false"/>
          <w:smallCaps w:val="false"/>
          <w:sz w:val="20"/>
        </w:rPr>
        <w:t>1,750,000 shares of common stock. Aggregate gross proceeds from the offering, including the over-allotment option, were approximately $</w:t>
      </w:r>
      <w:bookmarkStart w:id="758" w:name="xdx_90D_eus-gaap--ProceedsFromIssuanceIn"/>
      <w:bookmarkEnd w:id="758"/>
      <w:r>
        <w:rPr>
          <w:rFonts w:ascii="Times New Roman;Times;Serif" w:hAnsi="Times New Roman;Times;Serif"/>
          <w:b w:val="false"/>
          <w:i w:val="false"/>
          <w:caps w:val="false"/>
          <w:smallCaps w:val="false"/>
          <w:sz w:val="20"/>
        </w:rPr>
        <w:t>40,250. The Company incurred transaction costs of approximately $</w:t>
      </w:r>
      <w:bookmarkStart w:id="759" w:name="xdx_907_eus-gaap--OtherExpenses_pn3n3_c2"/>
      <w:bookmarkEnd w:id="759"/>
      <w:r>
        <w:rPr>
          <w:rFonts w:ascii="Times New Roman;Times;Serif" w:hAnsi="Times New Roman;Times;Serif"/>
          <w:b w:val="false"/>
          <w:i w:val="false"/>
          <w:caps w:val="false"/>
          <w:smallCaps w:val="false"/>
          <w:sz w:val="20"/>
        </w:rPr>
        <w:t>3,066, including underwriting discounts, commissions, and other offering expenses, resulting in net proceeds of approximately $</w:t>
      </w:r>
      <w:bookmarkStart w:id="760" w:name="xdx_906_eus-gaap--ProceedsFromIssuanceOf"/>
      <w:bookmarkEnd w:id="760"/>
      <w:r>
        <w:rPr>
          <w:rFonts w:ascii="Times New Roman;Times;Serif" w:hAnsi="Times New Roman;Times;Serif"/>
          <w:b w:val="false"/>
          <w:i w:val="false"/>
          <w:caps w:val="false"/>
          <w:smallCaps w:val="false"/>
          <w:sz w:val="20"/>
        </w:rPr>
        <w:t>37,184.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2026, the Company rescinded a previously approved equity compensation arrangement with the Company’s General Counsel covering </w:t>
      </w:r>
      <w:bookmarkStart w:id="761" w:name="xdx_90F_eus-gaap--StockIssuedDuringPerio"/>
      <w:bookmarkEnd w:id="761"/>
      <w:r>
        <w:rPr>
          <w:rFonts w:ascii="Times New Roman;Times;Serif" w:hAnsi="Times New Roman;Times;Serif"/>
          <w:b w:val="false"/>
          <w:i w:val="false"/>
          <w:caps w:val="false"/>
          <w:smallCaps w:val="false"/>
          <w:sz w:val="20"/>
        </w:rPr>
        <w:t>700,000 shares of common stock. As part of this rescission, the shares were cancelled and the arrangement was terminated with no further equity compensation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approximately $</w:t>
      </w:r>
      <w:bookmarkStart w:id="762" w:name="xdx_90C_eus-gaap--CommonStockShareSubscr"/>
      <w:bookmarkEnd w:id="762"/>
      <w:r>
        <w:rPr>
          <w:rFonts w:ascii="Times New Roman;Times;Serif" w:hAnsi="Times New Roman;Times;Serif"/>
          <w:b w:val="false"/>
          <w:i w:val="false"/>
          <w:caps w:val="false"/>
          <w:smallCaps w:val="false"/>
          <w:sz w:val="20"/>
        </w:rPr>
        <w:t>5,000 of remaining capacity under its Equity Subscription Agreement with Lind Global Fund III, LP, dated February 28, 2025, subject to the filing and effectiveness of a registration statement. No advances have been made under the Subscription Agreement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63" w:name="xdx_80A_eus-gaap--ShareholdersEquityAndS"/>
      <w:bookmarkEnd w:id="763"/>
      <w:r>
        <w:rPr>
          <w:rFonts w:ascii="Times New Roman;Times;Serif" w:hAnsi="Times New Roman;Times;Serif"/>
          <w:b/>
          <w:i w:val="false"/>
          <w:caps w:val="false"/>
          <w:smallCaps w:val="false"/>
          <w:sz w:val="20"/>
        </w:rPr>
        <w:t>NOTE 17</w:t>
      </w:r>
      <w:r>
        <w:rPr>
          <w:rFonts w:ascii="Times New Roman;Times;Serif" w:hAnsi="Times New Roman;Times;Serif"/>
          <w:b w:val="false"/>
          <w:i w:val="false"/>
          <w:caps w:val="false"/>
          <w:smallCaps w:val="false"/>
          <w:sz w:val="20"/>
        </w:rPr>
        <w:t xml:space="preserve"> – </w:t>
      </w:r>
      <w:bookmarkStart w:id="764" w:name="xdx_82D_zGcjFdKY478l"/>
      <w:bookmarkEnd w:id="764"/>
      <w:r>
        <w:rPr>
          <w:rFonts w:ascii="Times New Roman;Times;Serif" w:hAnsi="Times New Roman;Times;Serif"/>
          <w:b/>
          <w:i w:val="false"/>
          <w:caps w:val="false"/>
          <w:smallCaps w:val="false"/>
          <w:sz w:val="20"/>
        </w:rPr>
        <w:t>OPTIONS, RESTRICTED STOCK UNITS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Streamex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approved the Third Amendment to the Company’s 2023 Long-Term Incentive Plan (the “Incentive Plan Amendment”) on September 5, 2025, increasing the total number of shares authorized for issuance under the plan by </w:t>
      </w:r>
      <w:bookmarkStart w:id="765" w:name="xdx_90C_eus-gaap--StockIssuedDuringPerio"/>
      <w:bookmarkEnd w:id="765"/>
      <w:r>
        <w:rPr>
          <w:rFonts w:ascii="Times New Roman;Times;Serif" w:hAnsi="Times New Roman;Times;Serif"/>
          <w:b w:val="false"/>
          <w:i w:val="false"/>
          <w:caps w:val="false"/>
          <w:smallCaps w:val="false"/>
          <w:sz w:val="20"/>
        </w:rPr>
        <w:t xml:space="preserve">10,359,211 shares, from </w:t>
      </w:r>
      <w:bookmarkStart w:id="766" w:name="xdx_903_eus-gaap--CapitalUnitsAuthorized"/>
      <w:bookmarkEnd w:id="766"/>
      <w:r>
        <w:rPr>
          <w:rFonts w:ascii="Times New Roman;Times;Serif" w:hAnsi="Times New Roman;Times;Serif"/>
          <w:b w:val="false"/>
          <w:i w:val="false"/>
          <w:caps w:val="false"/>
          <w:smallCaps w:val="false"/>
          <w:sz w:val="20"/>
        </w:rPr>
        <w:t xml:space="preserve">4,376,595 shares to </w:t>
      </w:r>
      <w:bookmarkStart w:id="767" w:name="xdx_90A_eus-gaap--CapitalUnitsAuthorized"/>
      <w:bookmarkEnd w:id="767"/>
      <w:r>
        <w:rPr>
          <w:rFonts w:ascii="Times New Roman;Times;Serif" w:hAnsi="Times New Roman;Times;Serif"/>
          <w:b w:val="false"/>
          <w:i w:val="false"/>
          <w:caps w:val="false"/>
          <w:smallCaps w:val="false"/>
          <w:sz w:val="20"/>
        </w:rPr>
        <w:t xml:space="preserve">14,735,806 shares. Stockholders approved the Fourth Amendment to the Company’s 2023 Long-Term Incentive Plan on December 30, 2025, increasing the total number of shares authorized for issuance under the plan by </w:t>
      </w:r>
      <w:bookmarkStart w:id="768" w:name="xdx_901_eus-gaap--StockIssuedDuringPerio"/>
      <w:bookmarkEnd w:id="768"/>
      <w:r>
        <w:rPr>
          <w:rFonts w:ascii="Times New Roman;Times;Serif" w:hAnsi="Times New Roman;Times;Serif"/>
          <w:b w:val="false"/>
          <w:i w:val="false"/>
          <w:caps w:val="false"/>
          <w:smallCaps w:val="false"/>
          <w:sz w:val="20"/>
        </w:rPr>
        <w:t xml:space="preserve">22,494,324 shares, from </w:t>
      </w:r>
      <w:bookmarkStart w:id="769" w:name="xdx_904_eus-gaap--CapitalUnitsAuthorized"/>
      <w:bookmarkEnd w:id="769"/>
      <w:r>
        <w:rPr>
          <w:rFonts w:ascii="Times New Roman;Times;Serif" w:hAnsi="Times New Roman;Times;Serif"/>
          <w:b w:val="false"/>
          <w:i w:val="false"/>
          <w:caps w:val="false"/>
          <w:smallCaps w:val="false"/>
          <w:sz w:val="20"/>
        </w:rPr>
        <w:t xml:space="preserve">14,735,806 shares to </w:t>
      </w:r>
      <w:bookmarkStart w:id="770" w:name="xdx_901_eus-gaap--CapitalUnitsAuthorized"/>
      <w:bookmarkEnd w:id="770"/>
      <w:r>
        <w:rPr>
          <w:rFonts w:ascii="Times New Roman;Times;Serif" w:hAnsi="Times New Roman;Times;Serif"/>
          <w:b w:val="false"/>
          <w:i w:val="false"/>
          <w:caps w:val="false"/>
          <w:smallCaps w:val="false"/>
          <w:sz w:val="20"/>
        </w:rPr>
        <w:t>37,230,130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w:t>
      </w:r>
      <w:bookmarkStart w:id="771" w:name="xdx_90F_eus-gaap--StockIssuedDuringPerio"/>
      <w:bookmarkEnd w:id="771"/>
      <w:r>
        <w:rPr>
          <w:rFonts w:ascii="Times New Roman;Times;Serif" w:hAnsi="Times New Roman;Times;Serif"/>
          <w:b w:val="false"/>
          <w:i w:val="false"/>
          <w:caps w:val="false"/>
          <w:smallCaps w:val="false"/>
          <w:sz w:val="20"/>
        </w:rPr>
        <w:t>11,679,915 shares available under the 2023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valuation models require the input of highly subjective assumptions. The fair value of stock-based payment awards was estimated using the Black-Scholes option model with a volatility figure derived from historical stock prices of the Company. The Company accounts for the expected life of options based on the contractual life of options for non-employees. For employees, the Company accounts for the expected life of options in accordance with the “simplified” method, which is used for “plain-vanilla” options, as defined in the accounting standards codification. The risk-free interest rate was determined from the implied yields of U.S. Treasury zero-coupon bonds with a remaining life consistent with the expected term of the options.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72" w:name="xdx_896_eus-gaap--ScheduleOfShareBasedCo"/>
      <w:bookmarkEnd w:id="772"/>
      <w:r>
        <w:rPr>
          <w:rFonts w:ascii="Times New Roman;Times;Serif" w:hAnsi="Times New Roman;Times;Serif"/>
          <w:b w:val="false"/>
          <w:i w:val="false"/>
          <w:caps w:val="false"/>
          <w:smallCaps w:val="false"/>
          <w:sz w:val="20"/>
        </w:rPr>
        <w:t>The following table presents information related to stock options as of 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bookmarkStart w:id="773" w:name="xdx_8B7_zMWAAKLbQB1f"/>
      <w:bookmarkEnd w:id="773"/>
      <w:r>
        <w:rPr>
          <w:rFonts w:ascii="Times New Roman;Times;Serif" w:hAnsi="Times New Roman;Times;Serif"/>
          <w:b w:val="false"/>
          <w:i w:val="false"/>
          <w:caps w:val="false"/>
          <w:smallCaps w:val="false"/>
          <w:sz w:val="20"/>
        </w:rPr>
        <w:t>SCHEDULE OF EXERCISE PRICE OF STOCK OPTIONS </w:t>
      </w:r>
    </w:p>
    <w:tbl>
      <w:tblPr>
        <w:tblW w:w="6772" w:type="dxa"/>
        <w:jc w:val="left"/>
        <w:tblInd w:w="0" w:type="dxa"/>
        <w:tblLayout w:type="fixed"/>
        <w:tblCellMar>
          <w:top w:w="0" w:type="dxa"/>
          <w:left w:w="0" w:type="dxa"/>
          <w:bottom w:w="28" w:type="dxa"/>
          <w:right w:w="0" w:type="dxa"/>
        </w:tblCellMar>
      </w:tblPr>
      <w:tblGrid>
        <w:gridCol w:w="155"/>
        <w:gridCol w:w="1100"/>
        <w:gridCol w:w="60"/>
        <w:gridCol w:w="60"/>
        <w:gridCol w:w="65"/>
        <w:gridCol w:w="1064"/>
        <w:gridCol w:w="60"/>
        <w:gridCol w:w="60"/>
        <w:gridCol w:w="300"/>
        <w:gridCol w:w="1609"/>
        <w:gridCol w:w="60"/>
        <w:gridCol w:w="60"/>
        <w:gridCol w:w="116"/>
        <w:gridCol w:w="1928"/>
        <w:gridCol w:w="75"/>
      </w:tblGrid>
      <w:tr>
        <w:trPr/>
        <w:tc>
          <w:tcPr>
            <w:tcW w:w="4593" w:type="dxa"/>
            <w:gridSpan w:val="11"/>
            <w:tcBorders>
              <w:bottom w:val="single" w:sz="8" w:space="0" w:color="000000"/>
            </w:tcBorders>
            <w:vAlign w:val="center"/>
          </w:tcPr>
          <w:p>
            <w:pPr>
              <w:pStyle w:val="TableContents"/>
              <w:bidi w:val="0"/>
              <w:spacing w:before="0" w:after="283"/>
              <w:jc w:val="center"/>
              <w:rPr>
                <w:b/>
              </w:rPr>
            </w:pPr>
            <w:r>
              <w:rPr>
                <w:b/>
              </w:rPr>
              <w:t>Options Outstanding</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bottom w:val="single" w:sz="8" w:space="0" w:color="000000"/>
            </w:tcBorders>
            <w:vAlign w:val="center"/>
          </w:tcPr>
          <w:p>
            <w:pPr>
              <w:pStyle w:val="TableContents"/>
              <w:bidi w:val="0"/>
              <w:spacing w:before="0" w:after="283"/>
              <w:jc w:val="center"/>
              <w:rPr>
                <w:b/>
              </w:rPr>
            </w:pPr>
            <w:r>
              <w:rPr>
                <w:b/>
              </w:rPr>
              <w:t>Options Exercisable</w:t>
            </w:r>
          </w:p>
        </w:tc>
        <w:tc>
          <w:tcPr>
            <w:tcW w:w="75" w:type="dxa"/>
            <w:tcBorders/>
            <w:tcMar>
              <w:bottom w:w="0" w:type="dxa"/>
            </w:tcMar>
            <w:vAlign w:val="center"/>
          </w:tcPr>
          <w:p>
            <w:pPr>
              <w:pStyle w:val="TableContents"/>
              <w:bidi w:val="0"/>
              <w:spacing w:before="0" w:after="283"/>
              <w:jc w:val="left"/>
              <w:rPr/>
            </w:pPr>
            <w:r>
              <w:rPr/>
              <w:t> </w:t>
            </w:r>
          </w:p>
        </w:tc>
      </w:tr>
      <w:tr>
        <w:trPr/>
        <w:tc>
          <w:tcPr>
            <w:tcW w:w="1315" w:type="dxa"/>
            <w:gridSpan w:val="3"/>
            <w:tcBorders/>
            <w:tcMar>
              <w:bottom w:w="0" w:type="dxa"/>
            </w:tcMar>
            <w:vAlign w:val="center"/>
          </w:tcPr>
          <w:p>
            <w:pPr>
              <w:pStyle w:val="TableContents"/>
              <w:bidi w:val="0"/>
              <w:spacing w:before="0" w:after="283"/>
              <w:jc w:val="center"/>
              <w:rPr>
                <w:b/>
              </w:rPr>
            </w:pPr>
            <w:r>
              <w:rPr>
                <w:b/>
              </w:rPr>
              <w:t>Exercise</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tcMar>
              <w:bottom w:w="0" w:type="dxa"/>
            </w:tcMar>
            <w:vAlign w:val="center"/>
          </w:tcPr>
          <w:p>
            <w:pPr>
              <w:pStyle w:val="TableContents"/>
              <w:bidi w:val="0"/>
              <w:spacing w:before="0" w:after="283"/>
              <w:jc w:val="center"/>
              <w:rPr>
                <w:b/>
              </w:rPr>
            </w:pPr>
            <w:r>
              <w:rPr>
                <w:b/>
              </w:rPr>
              <w:t>Number of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tcMar>
              <w:bottom w:w="0" w:type="dxa"/>
            </w:tcMar>
            <w:vAlign w:val="center"/>
          </w:tcPr>
          <w:p>
            <w:pPr>
              <w:pStyle w:val="TableContents"/>
              <w:bidi w:val="0"/>
              <w:jc w:val="center"/>
              <w:rPr>
                <w:b/>
              </w:rPr>
            </w:pPr>
            <w:r>
              <w:rPr>
                <w:b/>
              </w:rPr>
              <w:t>Weighted Average</w:t>
            </w:r>
          </w:p>
          <w:p>
            <w:pPr>
              <w:pStyle w:val="TableContents"/>
              <w:bidi w:val="0"/>
              <w:spacing w:before="0" w:after="283"/>
              <w:jc w:val="center"/>
              <w:rPr>
                <w:b/>
              </w:rPr>
            </w:pPr>
            <w:r>
              <w:rPr>
                <w:b/>
              </w:rPr>
              <w:t>Remaining Life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75" w:type="dxa"/>
            <w:tcBorders/>
            <w:tcMar>
              <w:bottom w:w="0" w:type="dxa"/>
            </w:tcMar>
            <w:vAlign w:val="center"/>
          </w:tcPr>
          <w:p>
            <w:pPr>
              <w:pStyle w:val="TableContents"/>
              <w:bidi w:val="0"/>
              <w:spacing w:before="0" w:after="283"/>
              <w:jc w:val="left"/>
              <w:rPr/>
            </w:pPr>
            <w:r>
              <w:rPr/>
              <w:t> </w:t>
            </w:r>
          </w:p>
        </w:tc>
      </w:tr>
      <w:tr>
        <w:trPr/>
        <w:tc>
          <w:tcPr>
            <w:tcW w:w="1315" w:type="dxa"/>
            <w:gridSpan w:val="3"/>
            <w:tcBorders>
              <w:bottom w:val="single" w:sz="8" w:space="0" w:color="000000"/>
            </w:tcBorders>
            <w:vAlign w:val="center"/>
          </w:tcPr>
          <w:p>
            <w:pPr>
              <w:pStyle w:val="TableContents"/>
              <w:bidi w:val="0"/>
              <w:spacing w:before="0" w:after="283"/>
              <w:jc w:val="center"/>
              <w:rPr>
                <w:b/>
              </w:rPr>
            </w:pPr>
            <w:r>
              <w:rPr>
                <w:b/>
              </w:rPr>
              <w:t>Price</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8" w:space="0" w:color="000000"/>
            </w:tcBorders>
            <w:vAlign w:val="center"/>
          </w:tcPr>
          <w:p>
            <w:pPr>
              <w:pStyle w:val="TableContents"/>
              <w:bidi w:val="0"/>
              <w:spacing w:before="0" w:after="283"/>
              <w:jc w:val="center"/>
              <w:rPr>
                <w:b/>
              </w:rPr>
            </w:pPr>
            <w:r>
              <w:rPr>
                <w:b/>
              </w:rP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bottom w:val="single" w:sz="8" w:space="0" w:color="000000"/>
            </w:tcBorders>
            <w:vAlign w:val="center"/>
          </w:tcPr>
          <w:p>
            <w:pPr>
              <w:pStyle w:val="TableContents"/>
              <w:bidi w:val="0"/>
              <w:spacing w:before="0" w:after="283"/>
              <w:jc w:val="center"/>
              <w:rPr>
                <w:b/>
              </w:rPr>
            </w:pPr>
            <w:r>
              <w:rPr>
                <w:b/>
              </w:rPr>
              <w:t>In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bottom w:val="single" w:sz="8" w:space="0" w:color="000000"/>
            </w:tcBorders>
            <w:vAlign w:val="center"/>
          </w:tcPr>
          <w:p>
            <w:pPr>
              <w:pStyle w:val="TableContents"/>
              <w:bidi w:val="0"/>
              <w:spacing w:before="0" w:after="283"/>
              <w:jc w:val="center"/>
              <w:rPr>
                <w:b/>
              </w:rPr>
            </w:pPr>
            <w:r>
              <w:rPr>
                <w:b/>
              </w:rPr>
              <w:t>Options</w:t>
            </w:r>
          </w:p>
        </w:tc>
        <w:tc>
          <w:tcPr>
            <w:tcW w:w="75" w:type="dxa"/>
            <w:tcBorders/>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 xml:space="preserve">Under </w:t>
            </w:r>
            <w:bookmarkStart w:id="774" w:name="xdx_900_eus-gaap--ShareBasedCompensation"/>
            <w:bookmarkEnd w:id="774"/>
            <w:r>
              <w:rPr/>
              <w:t>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775" w:name="xdx_98D_eus-gaap--ShareBasedCompensation"/>
            <w:bookmarkEnd w:id="775"/>
          </w:p>
        </w:tc>
        <w:tc>
          <w:tcPr>
            <w:tcW w:w="1064" w:type="dxa"/>
            <w:tcBorders/>
            <w:shd w:fill="CCEEFF" w:val="clear"/>
            <w:tcMar>
              <w:bottom w:w="0" w:type="dxa"/>
            </w:tcMar>
            <w:vAlign w:val="center"/>
          </w:tcPr>
          <w:p>
            <w:pPr>
              <w:pStyle w:val="TableContents"/>
              <w:bidi w:val="0"/>
              <w:spacing w:before="0" w:after="283"/>
              <w:jc w:val="right"/>
              <w:rPr/>
            </w:pPr>
            <w:r>
              <w:rPr/>
              <w:t>2,900,000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jc w:val="left"/>
              <w:rPr/>
            </w:pPr>
            <w:r>
              <w:rPr/>
              <w:t> </w:t>
            </w:r>
            <w:bookmarkStart w:id="776" w:name="xdx_98E_eus-gaap--SharebasedCompensation"/>
            <w:bookmarkEnd w:id="776"/>
          </w:p>
        </w:tc>
        <w:tc>
          <w:tcPr>
            <w:tcW w:w="1609" w:type="dxa"/>
            <w:tcBorders/>
            <w:shd w:fill="CCEEFF" w:val="clear"/>
            <w:tcMar>
              <w:bottom w:w="0" w:type="dxa"/>
            </w:tcMar>
            <w:vAlign w:val="center"/>
          </w:tcPr>
          <w:p>
            <w:pPr>
              <w:pStyle w:val="TableContents"/>
              <w:bidi w:val="0"/>
              <w:spacing w:before="0" w:after="283"/>
              <w:jc w:val="right"/>
              <w:rPr/>
            </w:pPr>
            <w:r>
              <w:rPr/>
              <w:t>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777" w:name="xdx_987_eus-gaap--ShareBasedCompensation"/>
            <w:bookmarkEnd w:id="777"/>
          </w:p>
        </w:tc>
        <w:tc>
          <w:tcPr>
            <w:tcW w:w="1928" w:type="dxa"/>
            <w:tcBorders/>
            <w:shd w:fill="CCEEFF" w:val="clear"/>
            <w:tcMar>
              <w:bottom w:w="0" w:type="dxa"/>
            </w:tcMar>
            <w:vAlign w:val="center"/>
          </w:tcPr>
          <w:p>
            <w:pPr>
              <w:pStyle w:val="TableContents"/>
              <w:bidi w:val="0"/>
              <w:spacing w:before="0" w:after="283"/>
              <w:jc w:val="right"/>
              <w:rPr/>
            </w:pPr>
            <w:r>
              <w:rPr/>
              <w:t>2,900,000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778" w:name="xdx_902_eus-gaap--ShareBasedCompensation"/>
            <w:bookmarkEnd w:id="778"/>
            <w:r>
              <w:rPr>
                <w:rFonts w:ascii="Times New Roman;Times;Serif" w:hAnsi="Times New Roman;Times;Serif"/>
                <w:sz w:val="20"/>
              </w:rPr>
              <w:t>10.00-</w:t>
            </w:r>
            <w:bookmarkStart w:id="779" w:name="xdx_903_eus-gaap--ShareBasedCompensation"/>
            <w:bookmarkEnd w:id="779"/>
            <w:r>
              <w:rPr>
                <w:rFonts w:ascii="Times New Roman;Times;Serif" w:hAnsi="Times New Roman;Times;Serif"/>
                <w:sz w:val="20"/>
              </w:rPr>
              <w:t>19.99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bookmarkStart w:id="780" w:name="xdx_984_eus-gaap--ShareBasedCompensation"/>
            <w:bookmarkEnd w:id="780"/>
          </w:p>
        </w:tc>
        <w:tc>
          <w:tcPr>
            <w:tcW w:w="1064" w:type="dxa"/>
            <w:tcBorders/>
            <w:shd w:fill="FFFFFF" w:val="clear"/>
            <w:tcMar>
              <w:bottom w:w="0" w:type="dxa"/>
            </w:tcMar>
            <w:vAlign w:val="center"/>
          </w:tcPr>
          <w:p>
            <w:pPr>
              <w:pStyle w:val="TableContents"/>
              <w:bidi w:val="0"/>
              <w:spacing w:before="0" w:after="283"/>
              <w:jc w:val="right"/>
              <w:rPr/>
            </w:pPr>
            <w:r>
              <w:rPr/>
              <w:t>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 w:type="dxa"/>
            <w:tcBorders/>
            <w:shd w:fill="FFFFFF" w:val="clear"/>
            <w:tcMar>
              <w:bottom w:w="0" w:type="dxa"/>
            </w:tcMar>
            <w:vAlign w:val="center"/>
          </w:tcPr>
          <w:p>
            <w:pPr>
              <w:pStyle w:val="TableContents"/>
              <w:bidi w:val="0"/>
              <w:spacing w:before="0" w:after="283"/>
              <w:jc w:val="left"/>
              <w:rPr/>
            </w:pPr>
            <w:r>
              <w:rPr/>
              <w:t> </w:t>
            </w:r>
            <w:bookmarkStart w:id="781" w:name="xdx_98C_eus-gaap--SharebasedCompensation"/>
            <w:bookmarkEnd w:id="781"/>
          </w:p>
        </w:tc>
        <w:tc>
          <w:tcPr>
            <w:tcW w:w="1609" w:type="dxa"/>
            <w:tcBorders/>
            <w:shd w:fill="FFFFFF" w:val="clear"/>
            <w:tcMar>
              <w:bottom w:w="0" w:type="dxa"/>
            </w:tcMar>
            <w:vAlign w:val="center"/>
          </w:tcPr>
          <w:p>
            <w:pPr>
              <w:pStyle w:val="TableContents"/>
              <w:bidi w:val="0"/>
              <w:spacing w:before="0" w:after="283"/>
              <w:jc w:val="right"/>
              <w:rPr/>
            </w:pPr>
            <w:r>
              <w:rPr/>
              <w:t>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bookmarkStart w:id="782" w:name="xdx_986_eus-gaap--ShareBasedCompensation"/>
            <w:bookmarkEnd w:id="782"/>
          </w:p>
        </w:tc>
        <w:tc>
          <w:tcPr>
            <w:tcW w:w="1928" w:type="dxa"/>
            <w:tcBorders/>
            <w:shd w:fill="FFFFFF" w:val="clear"/>
            <w:tcMar>
              <w:bottom w:w="0" w:type="dxa"/>
            </w:tcMar>
            <w:vAlign w:val="center"/>
          </w:tcPr>
          <w:p>
            <w:pPr>
              <w:pStyle w:val="TableContents"/>
              <w:bidi w:val="0"/>
              <w:spacing w:before="0" w:after="283"/>
              <w:jc w:val="right"/>
              <w:rPr/>
            </w:pPr>
            <w:r>
              <w:rPr/>
              <w:t>15,000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783" w:name="xdx_90E_eus-gaap--ShareBasedCompensation"/>
            <w:bookmarkEnd w:id="783"/>
            <w:r>
              <w:rPr>
                <w:rFonts w:ascii="Times New Roman;Times;Serif" w:hAnsi="Times New Roman;Times;Serif"/>
                <w:sz w:val="20"/>
              </w:rPr>
              <w:t>20.00-</w:t>
            </w:r>
            <w:bookmarkStart w:id="784" w:name="xdx_900_eus-gaap--ShareBasedCompensation"/>
            <w:bookmarkEnd w:id="784"/>
            <w:r>
              <w:rPr>
                <w:rFonts w:ascii="Times New Roman;Times;Serif" w:hAnsi="Times New Roman;Times;Serif"/>
                <w:sz w:val="20"/>
              </w:rPr>
              <w:t>49.99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785" w:name="xdx_98B_eus-gaap--ShareBasedCompensation"/>
            <w:bookmarkEnd w:id="785"/>
          </w:p>
        </w:tc>
        <w:tc>
          <w:tcPr>
            <w:tcW w:w="1064" w:type="dxa"/>
            <w:tcBorders/>
            <w:shd w:fill="CCEEFF" w:val="clear"/>
            <w:tcMar>
              <w:bottom w:w="0" w:type="dxa"/>
            </w:tcMar>
            <w:vAlign w:val="center"/>
          </w:tcPr>
          <w:p>
            <w:pPr>
              <w:pStyle w:val="TableContents"/>
              <w:bidi w:val="0"/>
              <w:spacing w:before="0" w:after="283"/>
              <w:jc w:val="right"/>
              <w:rPr/>
            </w:pPr>
            <w:r>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jc w:val="left"/>
              <w:rPr/>
            </w:pPr>
            <w:r>
              <w:rPr/>
              <w:t> </w:t>
            </w:r>
            <w:bookmarkStart w:id="786" w:name="xdx_98F_eus-gaap--SharebasedCompensation"/>
            <w:bookmarkEnd w:id="786"/>
          </w:p>
        </w:tc>
        <w:tc>
          <w:tcPr>
            <w:tcW w:w="1609" w:type="dxa"/>
            <w:tcBorders/>
            <w:shd w:fill="CCEEFF" w:val="clear"/>
            <w:tcMar>
              <w:bottom w:w="0" w:type="dxa"/>
            </w:tcMar>
            <w:vAlign w:val="center"/>
          </w:tcPr>
          <w:p>
            <w:pPr>
              <w:pStyle w:val="TableContents"/>
              <w:bidi w:val="0"/>
              <w:spacing w:before="0" w:after="283"/>
              <w:jc w:val="right"/>
              <w:rPr/>
            </w:pPr>
            <w:r>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787" w:name="xdx_985_eus-gaap--ShareBasedCompensation"/>
            <w:bookmarkEnd w:id="787"/>
          </w:p>
        </w:tc>
        <w:tc>
          <w:tcPr>
            <w:tcW w:w="1928" w:type="dxa"/>
            <w:tcBorders/>
            <w:shd w:fill="CCEEFF" w:val="clear"/>
            <w:tcMar>
              <w:bottom w:w="0" w:type="dxa"/>
            </w:tcMar>
            <w:vAlign w:val="center"/>
          </w:tcPr>
          <w:p>
            <w:pPr>
              <w:pStyle w:val="TableContents"/>
              <w:bidi w:val="0"/>
              <w:spacing w:before="0" w:after="283"/>
              <w:jc w:val="right"/>
              <w:rPr/>
            </w:pPr>
            <w:r>
              <w:rPr/>
              <w:t>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788" w:name="xdx_90B_eus-gaap--ShareBasedCompensation"/>
            <w:bookmarkEnd w:id="788"/>
            <w:r>
              <w:rPr>
                <w:rFonts w:ascii="Times New Roman;Times;Serif" w:hAnsi="Times New Roman;Times;Serif"/>
                <w:sz w:val="20"/>
              </w:rPr>
              <w:t>50.00-</w:t>
            </w:r>
            <w:bookmarkStart w:id="789" w:name="xdx_906_eus-gaap--ShareBasedCompensation"/>
            <w:bookmarkEnd w:id="789"/>
            <w:r>
              <w:rPr>
                <w:rFonts w:ascii="Times New Roman;Times;Serif" w:hAnsi="Times New Roman;Times;Serif"/>
                <w:sz w:val="20"/>
              </w:rPr>
              <w:t>69.99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bottom w:val="single" w:sz="8" w:space="0" w:color="000000"/>
            </w:tcBorders>
            <w:shd w:fill="FFFFFF" w:val="clear"/>
            <w:vAlign w:val="center"/>
          </w:tcPr>
          <w:p>
            <w:pPr>
              <w:pStyle w:val="TableContents"/>
              <w:bidi w:val="0"/>
              <w:spacing w:before="0" w:after="283"/>
              <w:jc w:val="left"/>
              <w:rPr/>
            </w:pPr>
            <w:r>
              <w:rPr/>
              <w:t> </w:t>
            </w:r>
            <w:bookmarkStart w:id="790" w:name="xdx_987_eus-gaap--ShareBasedCompensation"/>
            <w:bookmarkEnd w:id="790"/>
          </w:p>
        </w:tc>
        <w:tc>
          <w:tcPr>
            <w:tcW w:w="1064" w:type="dxa"/>
            <w:tcBorders>
              <w:bottom w:val="single" w:sz="8" w:space="0" w:color="000000"/>
            </w:tcBorders>
            <w:shd w:fill="FFFFFF" w:val="clear"/>
            <w:vAlign w:val="center"/>
          </w:tcPr>
          <w:p>
            <w:pPr>
              <w:pStyle w:val="TableContents"/>
              <w:bidi w:val="0"/>
              <w:spacing w:before="0" w:after="283"/>
              <w:jc w:val="right"/>
              <w:rPr/>
            </w:pPr>
            <w:r>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 w:type="dxa"/>
            <w:tcBorders/>
            <w:shd w:fill="FFFFFF" w:val="clear"/>
            <w:tcMar>
              <w:bottom w:w="0" w:type="dxa"/>
            </w:tcMar>
            <w:vAlign w:val="center"/>
          </w:tcPr>
          <w:p>
            <w:pPr>
              <w:pStyle w:val="TableContents"/>
              <w:bidi w:val="0"/>
              <w:spacing w:before="0" w:after="283"/>
              <w:jc w:val="left"/>
              <w:rPr/>
            </w:pPr>
            <w:r>
              <w:rPr/>
              <w:t> </w:t>
            </w:r>
            <w:bookmarkStart w:id="791" w:name="xdx_98F_eus-gaap--SharebasedCompensation"/>
            <w:bookmarkEnd w:id="791"/>
          </w:p>
        </w:tc>
        <w:tc>
          <w:tcPr>
            <w:tcW w:w="1609" w:type="dxa"/>
            <w:tcBorders/>
            <w:shd w:fill="FFFFFF" w:val="clear"/>
            <w:tcMar>
              <w:bottom w:w="0" w:type="dxa"/>
            </w:tcMar>
            <w:vAlign w:val="center"/>
          </w:tcPr>
          <w:p>
            <w:pPr>
              <w:pStyle w:val="TableContents"/>
              <w:bidi w:val="0"/>
              <w:spacing w:before="0" w:after="283"/>
              <w:jc w:val="right"/>
              <w:rPr/>
            </w:pPr>
            <w:r>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vAlign w:val="center"/>
          </w:tcPr>
          <w:p>
            <w:pPr>
              <w:pStyle w:val="TableContents"/>
              <w:bidi w:val="0"/>
              <w:spacing w:before="0" w:after="283"/>
              <w:jc w:val="left"/>
              <w:rPr/>
            </w:pPr>
            <w:r>
              <w:rPr/>
              <w:t> </w:t>
            </w:r>
            <w:bookmarkStart w:id="792" w:name="xdx_985_eus-gaap--ShareBasedCompensation"/>
            <w:bookmarkEnd w:id="792"/>
          </w:p>
        </w:tc>
        <w:tc>
          <w:tcPr>
            <w:tcW w:w="1928" w:type="dxa"/>
            <w:tcBorders>
              <w:bottom w:val="single" w:sz="8" w:space="0" w:color="000000"/>
            </w:tcBorders>
            <w:shd w:fill="FFFFFF" w:val="clear"/>
            <w:vAlign w:val="center"/>
          </w:tcPr>
          <w:p>
            <w:pPr>
              <w:pStyle w:val="TableContents"/>
              <w:bidi w:val="0"/>
              <w:spacing w:before="0" w:after="283"/>
              <w:jc w:val="right"/>
              <w:rPr/>
            </w:pPr>
            <w:r>
              <w:rPr/>
              <w:t>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793" w:name="xdx_982_eus-gaap--ShareBasedCompensation"/>
            <w:bookmarkEnd w:id="793"/>
          </w:p>
        </w:tc>
        <w:tc>
          <w:tcPr>
            <w:tcW w:w="1064" w:type="dxa"/>
            <w:tcBorders/>
            <w:shd w:fill="CCEEFF" w:val="clear"/>
            <w:tcMar>
              <w:bottom w:w="0" w:type="dxa"/>
            </w:tcMar>
            <w:vAlign w:val="center"/>
          </w:tcPr>
          <w:p>
            <w:pPr>
              <w:pStyle w:val="TableContents"/>
              <w:bidi w:val="0"/>
              <w:spacing w:before="0" w:after="283"/>
              <w:jc w:val="right"/>
              <w:rPr/>
            </w:pPr>
            <w:r>
              <w:rPr/>
              <w:t>2,921,000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bookmarkStart w:id="794" w:name="xdx_901_eus-gaap--SharebasedCompensation"/>
            <w:bookmarkEnd w:id="794"/>
            <w:r>
              <w:rPr/>
              <w:t>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795" w:name="xdx_98D_eus-gaap--ShareBasedCompensation"/>
            <w:bookmarkEnd w:id="795"/>
          </w:p>
        </w:tc>
        <w:tc>
          <w:tcPr>
            <w:tcW w:w="1928" w:type="dxa"/>
            <w:tcBorders/>
            <w:shd w:fill="CCEEFF" w:val="clear"/>
            <w:tcMar>
              <w:bottom w:w="0" w:type="dxa"/>
            </w:tcMar>
            <w:vAlign w:val="center"/>
          </w:tcPr>
          <w:p>
            <w:pPr>
              <w:pStyle w:val="TableContents"/>
              <w:bidi w:val="0"/>
              <w:spacing w:before="0" w:after="283"/>
              <w:jc w:val="right"/>
              <w:rPr/>
            </w:pPr>
            <w:r>
              <w:rPr/>
              <w:t>2,921,000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96" w:name="xdx_8AD_zerqs7geHY4l"/>
      <w:bookmarkEnd w:id="79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7" w:name="xdx_898_eus-gaap--ScheduleOfShareBasedCo"/>
      <w:bookmarkEnd w:id="797"/>
      <w:r>
        <w:rPr>
          <w:rFonts w:ascii="Times New Roman;Times;Serif" w:hAnsi="Times New Roman;Times;Serif"/>
          <w:b w:val="false"/>
          <w:i w:val="false"/>
          <w:caps w:val="false"/>
          <w:smallCaps w:val="false"/>
          <w:sz w:val="20"/>
        </w:rPr>
        <w:t>A summary of the stock option activity and related information for the Plan for the six months ended June 30, 2026 is as follows:</w:t>
      </w:r>
    </w:p>
    <w:p>
      <w:pPr>
        <w:pStyle w:val="TextBody"/>
        <w:bidi w:val="0"/>
        <w:spacing w:before="0" w:after="0"/>
        <w:ind w:left="0" w:right="0" w:hanging="0"/>
        <w:jc w:val="both"/>
        <w:rPr>
          <w:caps w:val="false"/>
          <w:smallCaps w:val="false"/>
        </w:rPr>
      </w:pPr>
      <w:r>
        <w:rPr>
          <w:caps w:val="false"/>
          <w:smallCaps w:val="false"/>
        </w:rPr>
        <w:t> </w:t>
      </w:r>
      <w:bookmarkStart w:id="798" w:name="xdx_8B6_zdzspfRwsUYi"/>
      <w:bookmarkEnd w:id="798"/>
      <w:r>
        <w:rPr>
          <w:rFonts w:ascii="Times New Roman;Times;Serif" w:hAnsi="Times New Roman;Times;Serif"/>
          <w:b w:val="false"/>
          <w:i w:val="false"/>
          <w:caps w:val="false"/>
          <w:smallCaps w:val="false"/>
          <w:sz w:val="20"/>
        </w:rPr>
        <w:t>SCHEDULE OF STOCK OPTION ACTIVITY</w:t>
      </w:r>
    </w:p>
    <w:tbl>
      <w:tblPr>
        <w:tblW w:w="10205" w:type="dxa"/>
        <w:jc w:val="left"/>
        <w:tblInd w:w="0" w:type="dxa"/>
        <w:tblLayout w:type="fixed"/>
        <w:tblCellMar>
          <w:top w:w="0" w:type="dxa"/>
          <w:left w:w="0" w:type="dxa"/>
          <w:bottom w:w="0" w:type="dxa"/>
          <w:right w:w="0" w:type="dxa"/>
        </w:tblCellMar>
      </w:tblPr>
      <w:tblGrid>
        <w:gridCol w:w="1760"/>
        <w:gridCol w:w="60"/>
        <w:gridCol w:w="60"/>
        <w:gridCol w:w="980"/>
        <w:gridCol w:w="95"/>
        <w:gridCol w:w="60"/>
        <w:gridCol w:w="578"/>
        <w:gridCol w:w="1821"/>
        <w:gridCol w:w="60"/>
        <w:gridCol w:w="60"/>
        <w:gridCol w:w="457"/>
        <w:gridCol w:w="2447"/>
        <w:gridCol w:w="60"/>
        <w:gridCol w:w="60"/>
        <w:gridCol w:w="313"/>
        <w:gridCol w:w="1255"/>
        <w:gridCol w:w="79"/>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 Remaining Contractual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79"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99" w:name="xdx_98A_eus-gaap--ShareBasedCompensation"/>
            <w:bookmarkEnd w:id="799"/>
          </w:p>
        </w:tc>
        <w:tc>
          <w:tcPr>
            <w:tcW w:w="980" w:type="dxa"/>
            <w:tcBorders/>
            <w:shd w:fill="CCEEFF" w:val="clear"/>
            <w:vAlign w:val="center"/>
          </w:tcPr>
          <w:p>
            <w:pPr>
              <w:pStyle w:val="TableContents"/>
              <w:bidi w:val="0"/>
              <w:spacing w:before="0" w:after="283"/>
              <w:jc w:val="right"/>
              <w:rPr/>
            </w:pPr>
            <w:r>
              <w:rPr/>
              <w:t>2,736,000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w:t>
            </w:r>
            <w:bookmarkStart w:id="800" w:name="xdx_98F_ecustom--ShareBasedCompensationA"/>
            <w:bookmarkEnd w:id="800"/>
          </w:p>
        </w:tc>
        <w:tc>
          <w:tcPr>
            <w:tcW w:w="1821"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801" w:name="xdx_988_eus-gaap--SharebasedCompensation"/>
            <w:bookmarkEnd w:id="801"/>
          </w:p>
        </w:tc>
        <w:tc>
          <w:tcPr>
            <w:tcW w:w="2447"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bookmarkStart w:id="802" w:name="xdx_987_eus-gaap--ShareBasedCompensation"/>
            <w:bookmarkEnd w:id="802"/>
          </w:p>
        </w:tc>
        <w:tc>
          <w:tcPr>
            <w:tcW w:w="1255" w:type="dxa"/>
            <w:tcBorders/>
            <w:shd w:fill="CCEEFF" w:val="clear"/>
            <w:vAlign w:val="center"/>
          </w:tcPr>
          <w:p>
            <w:pPr>
              <w:pStyle w:val="TableContents"/>
              <w:bidi w:val="0"/>
              <w:spacing w:before="0" w:after="283"/>
              <w:jc w:val="right"/>
              <w:rPr/>
            </w:pPr>
            <w:r>
              <w:rPr/>
              <w:t>6,745</w:t>
            </w:r>
          </w:p>
        </w:tc>
        <w:tc>
          <w:tcPr>
            <w:tcW w:w="79"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03" w:name="xdx_98A_ecustom--ShareBasedCompensationA"/>
            <w:bookmarkEnd w:id="803"/>
          </w:p>
        </w:tc>
        <w:tc>
          <w:tcPr>
            <w:tcW w:w="980" w:type="dxa"/>
            <w:tcBorders/>
            <w:shd w:fill="FFFFFF" w:val="clear"/>
            <w:vAlign w:val="center"/>
          </w:tcPr>
          <w:p>
            <w:pPr>
              <w:pStyle w:val="TableContents"/>
              <w:bidi w:val="0"/>
              <w:spacing w:before="0" w:after="283"/>
              <w:jc w:val="right"/>
              <w:rPr/>
            </w:pPr>
            <w:r>
              <w:rPr/>
              <w:t>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w:t>
            </w:r>
            <w:bookmarkStart w:id="804" w:name="xdx_989_eus-gaap--ShareBasedCompensation"/>
            <w:bookmarkEnd w:id="804"/>
          </w:p>
        </w:tc>
        <w:tc>
          <w:tcPr>
            <w:tcW w:w="1821" w:type="dxa"/>
            <w:tcBorders/>
            <w:shd w:fill="FFFFFF" w:val="clear"/>
            <w:vAlign w:val="center"/>
          </w:tcPr>
          <w:p>
            <w:pPr>
              <w:pStyle w:val="TableContents"/>
              <w:bidi w:val="0"/>
              <w:spacing w:before="0" w:after="283"/>
              <w:jc w:val="right"/>
              <w:rPr/>
            </w:pPr>
            <w:r>
              <w:rPr/>
              <w:t>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bookmarkStart w:id="805" w:name="xdx_983_ecustom--SharebasedCompensationA"/>
            <w:bookmarkEnd w:id="805"/>
          </w:p>
        </w:tc>
        <w:tc>
          <w:tcPr>
            <w:tcW w:w="2447" w:type="dxa"/>
            <w:tcBorders/>
            <w:shd w:fill="FFFFFF" w:val="clear"/>
            <w:vAlign w:val="center"/>
          </w:tcPr>
          <w:p>
            <w:pPr>
              <w:pStyle w:val="TableContents"/>
              <w:bidi w:val="0"/>
              <w:spacing w:before="0" w:after="283"/>
              <w:jc w:val="right"/>
              <w:rPr/>
            </w:pPr>
            <w:r>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Forfeited/expired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6" w:name="xdx_985_eus-gaap--ShareBasedCompensation"/>
            <w:bookmarkEnd w:id="80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07" w:name="xdx_982_eus-gaap--ShareBasedCompensation"/>
            <w:bookmarkEnd w:id="807"/>
          </w:p>
        </w:tc>
        <w:tc>
          <w:tcPr>
            <w:tcW w:w="1821" w:type="dxa"/>
            <w:tcBorders>
              <w:bottom w:val="single" w:sz="8" w:space="0" w:color="000000"/>
            </w:tcBorders>
            <w:shd w:fill="CCEEFF" w:val="clear"/>
            <w:tcMar>
              <w:bottom w:w="28" w:type="dxa"/>
            </w:tcMar>
            <w:vAlign w:val="center"/>
          </w:tcPr>
          <w:p>
            <w:pPr>
              <w:pStyle w:val="TableContents"/>
              <w:bidi w:val="0"/>
              <w:spacing w:before="0" w:after="283"/>
              <w:jc w:val="right"/>
              <w:rPr/>
            </w:pPr>
            <w:r>
              <w:rPr/>
              <w:t>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Outstanding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08" w:name="xdx_98C_eus-gaap--ShareBasedCompensation"/>
            <w:bookmarkEnd w:id="808"/>
          </w:p>
        </w:tc>
        <w:tc>
          <w:tcPr>
            <w:tcW w:w="980" w:type="dxa"/>
            <w:tcBorders/>
            <w:shd w:fill="FFFFFF" w:val="clear"/>
            <w:vAlign w:val="center"/>
          </w:tcPr>
          <w:p>
            <w:pPr>
              <w:pStyle w:val="TableContents"/>
              <w:bidi w:val="0"/>
              <w:spacing w:before="0" w:after="283"/>
              <w:jc w:val="right"/>
              <w:rPr/>
            </w:pPr>
            <w:r>
              <w:rPr/>
              <w:t>2,921,000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w:t>
            </w:r>
            <w:bookmarkStart w:id="809" w:name="xdx_985_ecustom--ShareBasedCompensationA"/>
            <w:bookmarkEnd w:id="809"/>
          </w:p>
        </w:tc>
        <w:tc>
          <w:tcPr>
            <w:tcW w:w="1821" w:type="dxa"/>
            <w:tcBorders/>
            <w:shd w:fill="FFFFFF" w:val="clear"/>
            <w:vAlign w:val="center"/>
          </w:tcPr>
          <w:p>
            <w:pPr>
              <w:pStyle w:val="TableContents"/>
              <w:bidi w:val="0"/>
              <w:spacing w:before="0" w:after="283"/>
              <w:jc w:val="right"/>
              <w:rPr/>
            </w:pPr>
            <w:r>
              <w:rPr/>
              <w:t>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bookmarkStart w:id="810" w:name="xdx_985_eus-gaap--SharebasedCompensation"/>
            <w:bookmarkEnd w:id="810"/>
          </w:p>
        </w:tc>
        <w:tc>
          <w:tcPr>
            <w:tcW w:w="2447" w:type="dxa"/>
            <w:tcBorders/>
            <w:shd w:fill="FFFFFF" w:val="cle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w:t>
            </w:r>
            <w:bookmarkStart w:id="811" w:name="xdx_98A_eus-gaap--ShareBasedCompensation"/>
            <w:bookmarkEnd w:id="811"/>
          </w:p>
        </w:tc>
        <w:tc>
          <w:tcPr>
            <w:tcW w:w="1255" w:type="dxa"/>
            <w:tcBorders/>
            <w:shd w:fill="FFFFFF" w:val="clear"/>
            <w:vAlign w:val="center"/>
          </w:tcPr>
          <w:p>
            <w:pPr>
              <w:pStyle w:val="TableContents"/>
              <w:bidi w:val="0"/>
              <w:spacing w:before="0" w:after="283"/>
              <w:jc w:val="right"/>
              <w:rPr/>
            </w:pPr>
            <w:r>
              <w:rPr/>
              <w:t>968</w:t>
            </w:r>
          </w:p>
        </w:tc>
        <w:tc>
          <w:tcPr>
            <w:tcW w:w="79"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Exercisable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12" w:name="xdx_98A_eus-gaap--ShareBasedCompensation"/>
            <w:bookmarkEnd w:id="812"/>
          </w:p>
        </w:tc>
        <w:tc>
          <w:tcPr>
            <w:tcW w:w="980" w:type="dxa"/>
            <w:tcBorders/>
            <w:shd w:fill="CCEEFF" w:val="clear"/>
            <w:vAlign w:val="center"/>
          </w:tcPr>
          <w:p>
            <w:pPr>
              <w:pStyle w:val="TableContents"/>
              <w:bidi w:val="0"/>
              <w:spacing w:before="0" w:after="283"/>
              <w:jc w:val="right"/>
              <w:rPr/>
            </w:pPr>
            <w:r>
              <w:rPr/>
              <w:t>2,921,000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w:t>
            </w:r>
            <w:bookmarkStart w:id="813" w:name="xdx_980_eus-gaap--ShareBasedCompensation"/>
            <w:bookmarkEnd w:id="813"/>
          </w:p>
        </w:tc>
        <w:tc>
          <w:tcPr>
            <w:tcW w:w="1821" w:type="dxa"/>
            <w:tcBorders/>
            <w:shd w:fill="CCEEFF" w:val="clear"/>
            <w:vAlign w:val="center"/>
          </w:tcPr>
          <w:p>
            <w:pPr>
              <w:pStyle w:val="TableContents"/>
              <w:bidi w:val="0"/>
              <w:spacing w:before="0" w:after="283"/>
              <w:jc w:val="right"/>
              <w:rPr/>
            </w:pPr>
            <w:r>
              <w:rPr/>
              <w:t>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814" w:name="xdx_982_ecustom--SharebasedCompensationA"/>
            <w:bookmarkEnd w:id="814"/>
          </w:p>
        </w:tc>
        <w:tc>
          <w:tcPr>
            <w:tcW w:w="2447" w:type="dxa"/>
            <w:tcBorders/>
            <w:shd w:fill="CCEEFF" w:val="clear"/>
            <w:vAlign w:val="center"/>
          </w:tcPr>
          <w:p>
            <w:pPr>
              <w:pStyle w:val="TableContents"/>
              <w:bidi w:val="0"/>
              <w:spacing w:before="0" w:after="283"/>
              <w:jc w:val="right"/>
              <w:rPr/>
            </w:pPr>
            <w:r>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bookmarkStart w:id="815" w:name="xdx_98B_eus-gaap--SharebasedCompensation"/>
            <w:bookmarkEnd w:id="815"/>
          </w:p>
        </w:tc>
        <w:tc>
          <w:tcPr>
            <w:tcW w:w="1255" w:type="dxa"/>
            <w:tcBorders/>
            <w:shd w:fill="CCEEFF" w:val="clear"/>
            <w:vAlign w:val="center"/>
          </w:tcPr>
          <w:p>
            <w:pPr>
              <w:pStyle w:val="TableContents"/>
              <w:bidi w:val="0"/>
              <w:spacing w:before="0" w:after="283"/>
              <w:jc w:val="right"/>
              <w:rPr/>
            </w:pPr>
            <w:r>
              <w:rPr/>
              <w:t>968</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6" w:name="xdx_8AC_z3zS1MCMBONg"/>
      <w:bookmarkEnd w:id="8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preceding table represents the total pretax intrinsic value, based on options with an exercise price less than the stock price of the Company of $</w:t>
      </w:r>
      <w:bookmarkStart w:id="817" w:name="xdx_901_eus-gaap--ShareBasedCompensation"/>
      <w:bookmarkEnd w:id="817"/>
      <w:r>
        <w:rPr>
          <w:rFonts w:ascii="Times New Roman;Times;Serif" w:hAnsi="Times New Roman;Times;Serif"/>
          <w:b w:val="false"/>
          <w:i w:val="false"/>
          <w:caps w:val="false"/>
          <w:smallCaps w:val="false"/>
          <w:sz w:val="20"/>
        </w:rPr>
        <w:t>0.85 as of June 30, 2026, which would have been received by the option holders had those option holders exercised their options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an aggregate of </w:t>
      </w:r>
      <w:bookmarkStart w:id="818" w:name="xdx_90B_ecustom--ShareBasedCompensationA"/>
      <w:bookmarkEnd w:id="818"/>
      <w:r>
        <w:rPr>
          <w:rFonts w:ascii="Times New Roman;Times;Serif" w:hAnsi="Times New Roman;Times;Serif"/>
          <w:b w:val="false"/>
          <w:i w:val="false"/>
          <w:caps w:val="false"/>
          <w:smallCaps w:val="false"/>
          <w:sz w:val="20"/>
        </w:rPr>
        <w:t>250,000 options to purchase common stock at a weighted-average exercise price of $</w:t>
      </w:r>
      <w:bookmarkStart w:id="819" w:name="xdx_90A_eus-gaap--ShareBasedCompensation"/>
      <w:bookmarkEnd w:id="819"/>
      <w:r>
        <w:rPr>
          <w:rFonts w:ascii="Times New Roman;Times;Serif" w:hAnsi="Times New Roman;Times;Serif"/>
          <w:b w:val="false"/>
          <w:i w:val="false"/>
          <w:caps w:val="false"/>
          <w:smallCaps w:val="false"/>
          <w:sz w:val="20"/>
        </w:rPr>
        <w:t xml:space="preserve">3.21 per share for a term of </w:t>
      </w:r>
      <w:bookmarkStart w:id="820" w:name="xdx_909_ecustom--SharebasedCompensationA"/>
      <w:bookmarkEnd w:id="820"/>
      <w:r>
        <w:rPr>
          <w:rFonts w:ascii="Times New Roman;Times;Serif" w:hAnsi="Times New Roman;Times;Serif"/>
          <w:b w:val="false"/>
          <w:i w:val="false"/>
          <w:caps w:val="false"/>
          <w:smallCaps w:val="false"/>
          <w:sz w:val="20"/>
        </w:rPr>
        <w:t>ten years, which vested immediately and resulted in $</w:t>
      </w:r>
      <w:bookmarkStart w:id="821" w:name="xdx_908_eus-gaap--AllocatedShareBasedCom"/>
      <w:bookmarkEnd w:id="821"/>
      <w:r>
        <w:rPr>
          <w:rFonts w:ascii="Times New Roman;Times;Serif" w:hAnsi="Times New Roman;Times;Serif"/>
          <w:b w:val="false"/>
          <w:i w:val="false"/>
          <w:caps w:val="false"/>
          <w:smallCaps w:val="false"/>
          <w:sz w:val="20"/>
        </w:rPr>
        <w:t>770 of stock-based compensation expense, fully recognized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related to stock options was $</w:t>
      </w:r>
      <w:bookmarkStart w:id="822" w:name="xdx_907_eus-gaap--AllocatedShareBasedCom"/>
      <w:bookmarkEnd w:id="822"/>
      <w:r>
        <w:rPr>
          <w:rFonts w:ascii="Times New Roman;Times;Serif" w:hAnsi="Times New Roman;Times;Serif"/>
          <w:b w:val="false"/>
          <w:i w:val="false"/>
          <w:caps w:val="false"/>
          <w:smallCaps w:val="false"/>
          <w:sz w:val="20"/>
        </w:rPr>
        <w:t>0 and $</w:t>
      </w:r>
      <w:bookmarkStart w:id="823" w:name="xdx_90A_eus-gaap--AllocatedShareBasedCom"/>
      <w:bookmarkEnd w:id="823"/>
      <w:r>
        <w:rPr>
          <w:rFonts w:ascii="Times New Roman;Times;Serif" w:hAnsi="Times New Roman;Times;Serif"/>
          <w:b w:val="false"/>
          <w:i w:val="false"/>
          <w:caps w:val="false"/>
          <w:smallCaps w:val="false"/>
          <w:sz w:val="20"/>
        </w:rPr>
        <w:t>770 for the three and six months ended June 30, 2026, respectively, and $</w:t>
      </w:r>
      <w:bookmarkStart w:id="824" w:name="xdx_909_eus-gaap--AllocatedShareBasedCom"/>
      <w:bookmarkEnd w:id="824"/>
      <w:r>
        <w:rPr>
          <w:rFonts w:ascii="Times New Roman;Times;Serif" w:hAnsi="Times New Roman;Times;Serif"/>
          <w:b w:val="false"/>
          <w:i w:val="false"/>
          <w:caps w:val="false"/>
          <w:smallCaps w:val="false"/>
          <w:sz w:val="20"/>
        </w:rPr>
        <w:t>1,036 and $</w:t>
      </w:r>
      <w:bookmarkStart w:id="825" w:name="xdx_90D_eus-gaap--AllocatedShareBasedCom"/>
      <w:bookmarkEnd w:id="825"/>
      <w:r>
        <w:rPr>
          <w:rFonts w:ascii="Times New Roman;Times;Serif" w:hAnsi="Times New Roman;Times;Serif"/>
          <w:b w:val="false"/>
          <w:i w:val="false"/>
          <w:caps w:val="false"/>
          <w:smallCaps w:val="false"/>
          <w:sz w:val="20"/>
        </w:rPr>
        <w:t xml:space="preserve">1,076 for the three and six months ended June 30, 2025, respectively, presented within general and administrative expenses. As of June 30, 2026, there was </w:t>
      </w:r>
      <w:bookmarkStart w:id="826" w:name="xdx_90E_eus-gaap--EmployeeServiceShareBa"/>
      <w:bookmarkEnd w:id="826"/>
      <w:r>
        <w:rPr>
          <w:rFonts w:ascii="Times New Roman;Times;Serif" w:hAnsi="Times New Roman;Times;Serif"/>
          <w:b w:val="false"/>
          <w:i w:val="false"/>
          <w:caps w:val="false"/>
          <w:smallCaps w:val="false"/>
          <w:sz w:val="20"/>
        </w:rPr>
        <w:t>no unrecognized compensation expense related to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May 2025 acquisition of Streamex Exchange, all previously granted equity awards held by the Company’s former Chief Executive Officer and Chairman were accelerated and became fully vested and nonforfeitable as of May 28, 2025, with the post-resignation exercise period extended to the later of the original expiration date or 36 months following the transaction closing. The incremental compensation cost resulting from the modification was recognized in full during the year ended December 31, 2025. No compensation cost related to this modification was recognized during the three or six months ended June 30, 2026 or 2025, and no unrecognized compensation cost related to these awards remained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27" w:name="xdx_896_eus-gaap--ScheduleOfShareBasedPa"/>
      <w:bookmarkEnd w:id="827"/>
      <w:r>
        <w:rPr>
          <w:rFonts w:ascii="Times New Roman;Times;Serif" w:hAnsi="Times New Roman;Times;Serif"/>
          <w:b w:val="false"/>
          <w:i w:val="false"/>
          <w:caps w:val="false"/>
          <w:smallCaps w:val="false"/>
          <w:sz w:val="20"/>
        </w:rPr>
        <w:t>The fair value of options granted during the six months ended June 30, 2026 was estimated using the Black-Scholes option pricing model with the following assumptions:</w:t>
      </w:r>
    </w:p>
    <w:p>
      <w:pPr>
        <w:pStyle w:val="TextBody"/>
        <w:bidi w:val="0"/>
        <w:spacing w:before="0" w:after="0"/>
        <w:ind w:left="0" w:right="0" w:hanging="0"/>
        <w:jc w:val="both"/>
        <w:rPr>
          <w:caps w:val="false"/>
          <w:smallCaps w:val="false"/>
        </w:rPr>
      </w:pPr>
      <w:r>
        <w:rPr>
          <w:caps w:val="false"/>
          <w:smallCaps w:val="false"/>
        </w:rPr>
        <w:t> </w:t>
      </w:r>
      <w:bookmarkStart w:id="828" w:name="xdx_8B8_z1obJPMfcD51"/>
      <w:bookmarkEnd w:id="828"/>
      <w:r>
        <w:rPr>
          <w:rFonts w:ascii="Times New Roman;Times;Serif" w:hAnsi="Times New Roman;Times;Serif"/>
          <w:b w:val="false"/>
          <w:i w:val="false"/>
          <w:caps w:val="false"/>
          <w:smallCaps w:val="false"/>
          <w:sz w:val="20"/>
        </w:rPr>
        <w:t>SCHEDULE OF OPTIONS GRANTED ASSUMPTIONS USING BLACK-SCHOLES OPTION</w:t>
      </w:r>
    </w:p>
    <w:tbl>
      <w:tblPr>
        <w:tblW w:w="4790" w:type="dxa"/>
        <w:jc w:val="left"/>
        <w:tblInd w:w="0" w:type="dxa"/>
        <w:tblLayout w:type="fixed"/>
        <w:tblCellMar>
          <w:top w:w="0" w:type="dxa"/>
          <w:left w:w="0" w:type="dxa"/>
          <w:bottom w:w="28" w:type="dxa"/>
          <w:right w:w="0" w:type="dxa"/>
        </w:tblCellMar>
      </w:tblPr>
      <w:tblGrid>
        <w:gridCol w:w="3680"/>
        <w:gridCol w:w="60"/>
        <w:gridCol w:w="140"/>
        <w:gridCol w:w="680"/>
        <w:gridCol w:w="230"/>
      </w:tblGrid>
      <w:tr>
        <w:trPr/>
        <w:tc>
          <w:tcPr>
            <w:tcW w:w="3680" w:type="dxa"/>
            <w:tcBorders>
              <w:bottom w:val="single" w:sz="8" w:space="0" w:color="000000"/>
            </w:tcBorders>
            <w:vAlign w:val="center"/>
          </w:tcPr>
          <w:p>
            <w:pPr>
              <w:pStyle w:val="TableContents"/>
              <w:bidi w:val="0"/>
              <w:spacing w:before="0" w:after="283"/>
              <w:jc w:val="center"/>
              <w:rPr>
                <w:b/>
              </w:rPr>
            </w:pPr>
            <w:r>
              <w:rPr>
                <w:b/>
              </w:rPr>
              <w:t>Assumption</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b/>
              </w:rPr>
            </w:pPr>
            <w:r>
              <w:rPr>
                <w:b/>
              </w:rPr>
              <w:t>Value</w:t>
            </w:r>
          </w:p>
        </w:tc>
        <w:tc>
          <w:tcPr>
            <w:tcW w:w="230" w:type="dxa"/>
            <w:tcBorders/>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pPr>
            <w:r>
              <w:rPr/>
              <w:t>Weighted average grant date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bookmarkStart w:id="829" w:name="xdx_909_eus-gaap--DerivativeLiabilityMea"/>
            <w:bookmarkEnd w:id="829"/>
            <w:r>
              <w:rPr/>
              <w:t>3.08</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both"/>
              <w:rPr/>
            </w:pPr>
            <w:r>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bookmarkStart w:id="830" w:name="xdx_908_eus-gaap--DerivativeLiabilityMea"/>
            <w:bookmarkEnd w:id="830"/>
            <w:r>
              <w:rPr/>
              <w:t>124.22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283"/>
              <w:jc w:val="both"/>
              <w:rPr/>
            </w:pPr>
            <w:r>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bookmarkStart w:id="831" w:name="xdx_905_eus-gaap--DerivativeLiabilityMea"/>
            <w:bookmarkEnd w:id="831"/>
            <w:r>
              <w:rPr/>
              <w:t>4.15</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680" w:type="dxa"/>
            <w:tcBorders/>
            <w:shd w:fill="FFFFFF" w:val="clear"/>
            <w:tcMar>
              <w:bottom w:w="0" w:type="dxa"/>
            </w:tcMar>
            <w:vAlign w:val="center"/>
          </w:tcPr>
          <w:p>
            <w:pPr>
              <w:pStyle w:val="TableContents"/>
              <w:bidi w:val="0"/>
              <w:spacing w:before="0" w:after="283"/>
              <w:jc w:val="both"/>
              <w:rPr/>
            </w:pPr>
            <w:r>
              <w:rPr/>
              <w:t>Expected 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bookmarkStart w:id="832" w:name="xdx_906_eus-gaap--DerivativeLiabilityMea"/>
            <w:bookmarkEnd w:id="832"/>
            <w:r>
              <w:rPr/>
              <w:t>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283"/>
              <w:jc w:val="both"/>
              <w:rPr/>
            </w:pPr>
            <w:r>
              <w:rPr/>
              <w:t>Expected Term (in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bookmarkStart w:id="833" w:name="xdx_90D_eus-gaap--DerivativeTermOfContra"/>
            <w:bookmarkEnd w:id="833"/>
            <w:r>
              <w:rPr/>
              <w:t>10</w:t>
            </w:r>
          </w:p>
        </w:tc>
        <w:tc>
          <w:tcPr>
            <w:tcW w:w="23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834" w:name="xdx_8AD_z4lqkoLY8e92"/>
      <w:bookmarkEnd w:id="83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5" w:name="xdx_892_ecustom--ScheduleOfWarrantsOrRig"/>
      <w:bookmarkEnd w:id="835"/>
      <w:r>
        <w:rPr>
          <w:rFonts w:ascii="Times New Roman;Times;Serif" w:hAnsi="Times New Roman;Times;Serif"/>
          <w:b w:val="false"/>
          <w:i w:val="false"/>
          <w:caps w:val="false"/>
          <w:smallCaps w:val="false"/>
          <w:sz w:val="20"/>
        </w:rPr>
        <w:t>The following table summarizes information with respect to outstanding warrants to purchase common stock of Streamex Corp. as of June 30, 2026:</w:t>
      </w:r>
    </w:p>
    <w:p>
      <w:pPr>
        <w:pStyle w:val="TextBody"/>
        <w:bidi w:val="0"/>
        <w:spacing w:before="0" w:after="0"/>
        <w:jc w:val="center"/>
        <w:rPr>
          <w:caps w:val="false"/>
          <w:smallCaps w:val="false"/>
        </w:rPr>
      </w:pPr>
      <w:r>
        <w:rPr>
          <w:caps w:val="false"/>
          <w:smallCaps w:val="false"/>
        </w:rPr>
        <w:t> </w:t>
      </w:r>
      <w:bookmarkStart w:id="836" w:name="xdx_8BD_zhWhus0g2PU8"/>
      <w:bookmarkEnd w:id="836"/>
      <w:r>
        <w:rPr>
          <w:rFonts w:ascii="Times New Roman;Times;Serif" w:hAnsi="Times New Roman;Times;Serif"/>
          <w:b w:val="false"/>
          <w:i w:val="false"/>
          <w:caps w:val="false"/>
          <w:smallCaps w:val="false"/>
          <w:sz w:val="20"/>
        </w:rPr>
        <w:t>SCHEDULE OF INFORMATION RELATED TO WARRANTS </w:t>
      </w:r>
    </w:p>
    <w:tbl>
      <w:tblPr>
        <w:tblW w:w="5563" w:type="dxa"/>
        <w:jc w:val="left"/>
        <w:tblInd w:w="0" w:type="dxa"/>
        <w:tblLayout w:type="fixed"/>
        <w:tblCellMar>
          <w:top w:w="0" w:type="dxa"/>
          <w:left w:w="0" w:type="dxa"/>
          <w:bottom w:w="28" w:type="dxa"/>
          <w:right w:w="0" w:type="dxa"/>
        </w:tblCellMar>
      </w:tblPr>
      <w:tblGrid>
        <w:gridCol w:w="239"/>
        <w:gridCol w:w="1235"/>
        <w:gridCol w:w="60"/>
        <w:gridCol w:w="60"/>
        <w:gridCol w:w="125"/>
        <w:gridCol w:w="2054"/>
        <w:gridCol w:w="60"/>
        <w:gridCol w:w="60"/>
        <w:gridCol w:w="1670"/>
      </w:tblGrid>
      <w:tr>
        <w:trPr/>
        <w:tc>
          <w:tcPr>
            <w:tcW w:w="1474" w:type="dxa"/>
            <w:gridSpan w:val="2"/>
            <w:tcBorders>
              <w:bottom w:val="single" w:sz="8" w:space="0" w:color="000000"/>
            </w:tcBorders>
            <w:vAlign w:val="center"/>
          </w:tcPr>
          <w:p>
            <w:pPr>
              <w:pStyle w:val="TableContents"/>
              <w:bidi w:val="0"/>
              <w:spacing w:before="0" w:after="283"/>
              <w:jc w:val="center"/>
              <w:rPr>
                <w:b/>
              </w:rPr>
            </w:pPr>
            <w:r>
              <w:rPr>
                <w:b/>
              </w:rPr>
              <w:t>Exercise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79" w:type="dxa"/>
            <w:gridSpan w:val="2"/>
            <w:tcBorders>
              <w:bottom w:val="single" w:sz="8" w:space="0" w:color="000000"/>
            </w:tcBorders>
            <w:vAlign w:val="center"/>
          </w:tcPr>
          <w:p>
            <w:pPr>
              <w:pStyle w:val="TableContents"/>
              <w:bidi w:val="0"/>
              <w:spacing w:before="0" w:after="283"/>
              <w:jc w:val="center"/>
              <w:rPr>
                <w:b/>
              </w:rPr>
            </w:pPr>
            <w:r>
              <w:rPr>
                <w:b/>
              </w:rPr>
              <w:t>Number of Warrants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center"/>
              <w:rPr>
                <w:b/>
              </w:rPr>
            </w:pPr>
            <w:r>
              <w:rPr>
                <w:b/>
              </w:rPr>
              <w:t>Expiration Date</w:t>
            </w:r>
          </w:p>
        </w:tc>
      </w:tr>
      <w:tr>
        <w:trPr/>
        <w:tc>
          <w:tcPr>
            <w:tcW w:w="239" w:type="dxa"/>
            <w:tcBorders/>
            <w:shd w:fill="CCEEFF" w:val="clear"/>
            <w:tcMar>
              <w:bottom w:w="0" w:type="dxa"/>
            </w:tcMar>
            <w:vAlign w:val="center"/>
          </w:tcPr>
          <w:p>
            <w:pPr>
              <w:pStyle w:val="TableContents"/>
              <w:bidi w:val="0"/>
              <w:spacing w:before="0" w:after="283"/>
              <w:jc w:val="left"/>
              <w:rPr/>
            </w:pPr>
            <w:r>
              <w:rPr/>
              <w:t>$</w:t>
            </w:r>
            <w:bookmarkStart w:id="837" w:name="xdx_98D_eus-gaap--ClassOfWarrantOrRightE"/>
            <w:bookmarkEnd w:id="837"/>
          </w:p>
        </w:tc>
        <w:tc>
          <w:tcPr>
            <w:tcW w:w="1235" w:type="dxa"/>
            <w:tcBorders/>
            <w:shd w:fill="CCEEFF" w:val="clear"/>
            <w:tcMar>
              <w:bottom w:w="0" w:type="dxa"/>
            </w:tcMar>
            <w:vAlign w:val="center"/>
          </w:tcPr>
          <w:p>
            <w:pPr>
              <w:pStyle w:val="TableContents"/>
              <w:bidi w:val="0"/>
              <w:spacing w:before="0" w:after="283"/>
              <w:jc w:val="right"/>
              <w:rPr/>
            </w:pPr>
            <w:r>
              <w:rPr/>
              <w:t>0.3000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838" w:name="xdx_98D_eus-gaap--ClassOfWarrantOrRightO"/>
            <w:bookmarkEnd w:id="838"/>
          </w:p>
        </w:tc>
        <w:tc>
          <w:tcPr>
            <w:tcW w:w="2054" w:type="dxa"/>
            <w:tcBorders/>
            <w:shd w:fill="CCEEFF" w:val="clear"/>
            <w:tcMar>
              <w:bottom w:w="0" w:type="dxa"/>
            </w:tcMar>
            <w:vAlign w:val="center"/>
          </w:tcPr>
          <w:p>
            <w:pPr>
              <w:pStyle w:val="TableContents"/>
              <w:bidi w:val="0"/>
              <w:spacing w:before="0" w:after="283"/>
              <w:jc w:val="right"/>
              <w:rPr/>
            </w:pPr>
            <w:r>
              <w:rPr/>
              <w:t>11,982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39" w:name="xdx_98D_ecustom--WarrantsExpirationDateD"/>
            <w:bookmarkEnd w:id="839"/>
          </w:p>
        </w:tc>
        <w:tc>
          <w:tcPr>
            <w:tcW w:w="1670" w:type="dxa"/>
            <w:tcBorders/>
            <w:shd w:fill="CCEEFF" w:val="clear"/>
            <w:tcMar>
              <w:bottom w:w="0" w:type="dxa"/>
            </w:tcMar>
            <w:vAlign w:val="center"/>
          </w:tcPr>
          <w:p>
            <w:pPr>
              <w:pStyle w:val="TableContents"/>
              <w:bidi w:val="0"/>
              <w:spacing w:before="0" w:after="283"/>
              <w:jc w:val="center"/>
              <w:rPr/>
            </w:pPr>
            <w:r>
              <w:rPr/>
              <w:t>Nov-29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40" w:name="xdx_989_eus-gaap--ClassOfWarrantOrRightE"/>
            <w:bookmarkEnd w:id="840"/>
          </w:p>
        </w:tc>
        <w:tc>
          <w:tcPr>
            <w:tcW w:w="1235" w:type="dxa"/>
            <w:tcBorders/>
            <w:shd w:fill="FFFFFF" w:val="clear"/>
            <w:tcMar>
              <w:bottom w:w="0" w:type="dxa"/>
            </w:tcMar>
            <w:vAlign w:val="center"/>
          </w:tcPr>
          <w:p>
            <w:pPr>
              <w:pStyle w:val="TableContents"/>
              <w:bidi w:val="0"/>
              <w:spacing w:before="0" w:after="283"/>
              <w:jc w:val="right"/>
              <w:rPr/>
            </w:pPr>
            <w:r>
              <w:rPr/>
              <w:t>0.9547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841" w:name="xdx_981_eus-gaap--ClassOfWarrantOrRightO"/>
            <w:bookmarkEnd w:id="841"/>
          </w:p>
        </w:tc>
        <w:tc>
          <w:tcPr>
            <w:tcW w:w="2054" w:type="dxa"/>
            <w:tcBorders/>
            <w:shd w:fill="FFFFFF" w:val="clear"/>
            <w:tcMar>
              <w:bottom w:w="0" w:type="dxa"/>
            </w:tcMar>
            <w:vAlign w:val="center"/>
          </w:tcPr>
          <w:p>
            <w:pPr>
              <w:pStyle w:val="TableContents"/>
              <w:bidi w:val="0"/>
              <w:spacing w:before="0" w:after="283"/>
              <w:jc w:val="right"/>
              <w:rPr/>
            </w:pPr>
            <w:r>
              <w:rPr/>
              <w:t>577,916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42" w:name="xdx_981_ecustom--WarrantsExpirationDateD"/>
            <w:bookmarkEnd w:id="842"/>
          </w:p>
        </w:tc>
        <w:tc>
          <w:tcPr>
            <w:tcW w:w="1670" w:type="dxa"/>
            <w:tcBorders/>
            <w:shd w:fill="FFFFFF" w:val="clear"/>
            <w:tcMar>
              <w:bottom w:w="0" w:type="dxa"/>
            </w:tcMar>
            <w:vAlign w:val="center"/>
          </w:tcPr>
          <w:p>
            <w:pPr>
              <w:pStyle w:val="TableContents"/>
              <w:bidi w:val="0"/>
              <w:spacing w:before="0" w:after="283"/>
              <w:jc w:val="center"/>
              <w:rPr/>
            </w:pPr>
            <w:r>
              <w:rPr/>
              <w:t>Sep-28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43" w:name="xdx_982_eus-gaap--ClassOfWarrantOrRightE"/>
            <w:bookmarkEnd w:id="843"/>
          </w:p>
        </w:tc>
        <w:tc>
          <w:tcPr>
            <w:tcW w:w="1235" w:type="dxa"/>
            <w:tcBorders/>
            <w:shd w:fill="CCEEFF" w:val="clear"/>
            <w:tcMar>
              <w:bottom w:w="0" w:type="dxa"/>
            </w:tcMar>
            <w:vAlign w:val="center"/>
          </w:tcPr>
          <w:p>
            <w:pPr>
              <w:pStyle w:val="TableContents"/>
              <w:bidi w:val="0"/>
              <w:spacing w:before="0" w:after="283"/>
              <w:jc w:val="right"/>
              <w:rPr/>
            </w:pPr>
            <w:r>
              <w:rPr/>
              <w:t>3.3640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844" w:name="xdx_987_eus-gaap--ClassOfWarrantOrRightO"/>
            <w:bookmarkEnd w:id="844"/>
          </w:p>
        </w:tc>
        <w:tc>
          <w:tcPr>
            <w:tcW w:w="2054" w:type="dxa"/>
            <w:tcBorders/>
            <w:shd w:fill="CCEEFF" w:val="clear"/>
            <w:tcMar>
              <w:bottom w:w="0" w:type="dxa"/>
            </w:tcMar>
            <w:vAlign w:val="center"/>
          </w:tcPr>
          <w:p>
            <w:pPr>
              <w:pStyle w:val="TableContents"/>
              <w:bidi w:val="0"/>
              <w:spacing w:before="0" w:after="283"/>
              <w:jc w:val="right"/>
              <w:rPr/>
            </w:pPr>
            <w:r>
              <w:rPr/>
              <w:t>117,828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45" w:name="xdx_98C_ecustom--WarrantsExpirationDateD"/>
            <w:bookmarkEnd w:id="845"/>
          </w:p>
        </w:tc>
        <w:tc>
          <w:tcPr>
            <w:tcW w:w="1670" w:type="dxa"/>
            <w:tcBorders/>
            <w:shd w:fill="CCEEFF" w:val="clear"/>
            <w:tcMar>
              <w:bottom w:w="0" w:type="dxa"/>
            </w:tcMar>
            <w:vAlign w:val="center"/>
          </w:tcPr>
          <w:p>
            <w:pPr>
              <w:pStyle w:val="TableContents"/>
              <w:bidi w:val="0"/>
              <w:spacing w:before="0" w:after="283"/>
              <w:jc w:val="center"/>
              <w:rPr/>
            </w:pPr>
            <w:r>
              <w:rPr/>
              <w:t>Jul-29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46" w:name="xdx_982_eus-gaap--ClassOfWarrantOrRightE"/>
            <w:bookmarkEnd w:id="846"/>
          </w:p>
        </w:tc>
        <w:tc>
          <w:tcPr>
            <w:tcW w:w="1235" w:type="dxa"/>
            <w:tcBorders/>
            <w:shd w:fill="FFFFFF" w:val="clear"/>
            <w:tcMar>
              <w:bottom w:w="0" w:type="dxa"/>
            </w:tcMar>
            <w:vAlign w:val="center"/>
          </w:tcPr>
          <w:p>
            <w:pPr>
              <w:pStyle w:val="TableContents"/>
              <w:bidi w:val="0"/>
              <w:spacing w:before="0" w:after="283"/>
              <w:jc w:val="right"/>
              <w:rPr/>
            </w:pPr>
            <w:r>
              <w:rPr/>
              <w:t>4.0660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847" w:name="xdx_980_eus-gaap--ClassOfWarrantOrRightO"/>
            <w:bookmarkEnd w:id="847"/>
          </w:p>
        </w:tc>
        <w:tc>
          <w:tcPr>
            <w:tcW w:w="2054"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48" w:name="xdx_982_ecustom--WarrantsExpirationDateD"/>
            <w:bookmarkEnd w:id="848"/>
          </w:p>
        </w:tc>
        <w:tc>
          <w:tcPr>
            <w:tcW w:w="1670" w:type="dxa"/>
            <w:tcBorders/>
            <w:shd w:fill="FFFFFF" w:val="clear"/>
            <w:tcMar>
              <w:bottom w:w="0" w:type="dxa"/>
            </w:tcMar>
            <w:vAlign w:val="center"/>
          </w:tcPr>
          <w:p>
            <w:pPr>
              <w:pStyle w:val="TableContents"/>
              <w:bidi w:val="0"/>
              <w:spacing w:before="0" w:after="283"/>
              <w:jc w:val="center"/>
              <w:rPr/>
            </w:pPr>
            <w:r>
              <w:rPr/>
              <w:t>Nov-32</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49" w:name="xdx_984_eus-gaap--ClassOfWarrantOrRightE"/>
            <w:bookmarkEnd w:id="849"/>
          </w:p>
        </w:tc>
        <w:tc>
          <w:tcPr>
            <w:tcW w:w="1235" w:type="dxa"/>
            <w:tcBorders/>
            <w:shd w:fill="CCEEFF" w:val="clear"/>
            <w:tcMar>
              <w:bottom w:w="0" w:type="dxa"/>
            </w:tcMar>
            <w:vAlign w:val="center"/>
          </w:tcPr>
          <w:p>
            <w:pPr>
              <w:pStyle w:val="TableContents"/>
              <w:bidi w:val="0"/>
              <w:spacing w:before="0" w:after="283"/>
              <w:jc w:val="right"/>
              <w:rPr/>
            </w:pPr>
            <w:r>
              <w:rPr/>
              <w:t>4.4550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850" w:name="xdx_988_eus-gaap--ClassOfWarrantOrRightO"/>
            <w:bookmarkEnd w:id="850"/>
          </w:p>
        </w:tc>
        <w:tc>
          <w:tcPr>
            <w:tcW w:w="2054" w:type="dxa"/>
            <w:tcBorders/>
            <w:shd w:fill="CCEEFF" w:val="clear"/>
            <w:tcMar>
              <w:bottom w:w="0" w:type="dxa"/>
            </w:tcMar>
            <w:vAlign w:val="center"/>
          </w:tcPr>
          <w:p>
            <w:pPr>
              <w:pStyle w:val="TableContents"/>
              <w:bidi w:val="0"/>
              <w:spacing w:before="0" w:after="283"/>
              <w:jc w:val="right"/>
              <w:rPr/>
            </w:pPr>
            <w:r>
              <w:rPr/>
              <w:t>107,483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51" w:name="xdx_98D_ecustom--WarrantsExpirationDateD"/>
            <w:bookmarkEnd w:id="851"/>
          </w:p>
        </w:tc>
        <w:tc>
          <w:tcPr>
            <w:tcW w:w="1670" w:type="dxa"/>
            <w:tcBorders/>
            <w:shd w:fill="CCEEFF" w:val="clear"/>
            <w:tcMar>
              <w:bottom w:w="0" w:type="dxa"/>
            </w:tcMar>
            <w:vAlign w:val="center"/>
          </w:tcPr>
          <w:p>
            <w:pPr>
              <w:pStyle w:val="TableContents"/>
              <w:bidi w:val="0"/>
              <w:spacing w:before="0" w:after="283"/>
              <w:jc w:val="center"/>
              <w:rPr/>
            </w:pPr>
            <w:r>
              <w:rPr/>
              <w:t>Jun-28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52" w:name="xdx_98C_eus-gaap--ClassOfWarrantOrRightE"/>
            <w:bookmarkEnd w:id="852"/>
          </w:p>
        </w:tc>
        <w:tc>
          <w:tcPr>
            <w:tcW w:w="1235" w:type="dxa"/>
            <w:tcBorders/>
            <w:shd w:fill="FFFFFF" w:val="clear"/>
            <w:tcMar>
              <w:bottom w:w="0" w:type="dxa"/>
            </w:tcMar>
            <w:vAlign w:val="center"/>
          </w:tcPr>
          <w:p>
            <w:pPr>
              <w:pStyle w:val="TableContents"/>
              <w:bidi w:val="0"/>
              <w:spacing w:before="0" w:after="283"/>
              <w:jc w:val="right"/>
              <w:rPr/>
            </w:pPr>
            <w:r>
              <w:rPr/>
              <w:t>4.6626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853" w:name="xdx_985_eus-gaap--ClassOfWarrantOrRightO"/>
            <w:bookmarkEnd w:id="853"/>
          </w:p>
        </w:tc>
        <w:tc>
          <w:tcPr>
            <w:tcW w:w="2054" w:type="dxa"/>
            <w:tcBorders/>
            <w:shd w:fill="FFFFFF" w:val="clear"/>
            <w:tcMar>
              <w:bottom w:w="0" w:type="dxa"/>
            </w:tcMar>
            <w:vAlign w:val="center"/>
          </w:tcPr>
          <w:p>
            <w:pPr>
              <w:pStyle w:val="TableContents"/>
              <w:bidi w:val="0"/>
              <w:spacing w:before="0" w:after="283"/>
              <w:jc w:val="right"/>
              <w:rPr/>
            </w:pPr>
            <w:r>
              <w:rPr/>
              <w:t>5,580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54" w:name="xdx_98B_ecustom--WarrantsExpirationDateD"/>
            <w:bookmarkEnd w:id="854"/>
          </w:p>
        </w:tc>
        <w:tc>
          <w:tcPr>
            <w:tcW w:w="1670" w:type="dxa"/>
            <w:tcBorders/>
            <w:shd w:fill="FFFFFF" w:val="clear"/>
            <w:tcMar>
              <w:bottom w:w="0" w:type="dxa"/>
            </w:tcMar>
            <w:vAlign w:val="center"/>
          </w:tcPr>
          <w:p>
            <w:pPr>
              <w:pStyle w:val="TableContents"/>
              <w:bidi w:val="0"/>
              <w:spacing w:before="0" w:after="283"/>
              <w:jc w:val="center"/>
              <w:rPr/>
            </w:pPr>
            <w:r>
              <w:rPr/>
              <w:t>Apr-29</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55" w:name="xdx_981_eus-gaap--ClassOfWarrantOrRightE"/>
            <w:bookmarkEnd w:id="855"/>
          </w:p>
        </w:tc>
        <w:tc>
          <w:tcPr>
            <w:tcW w:w="1235" w:type="dxa"/>
            <w:tcBorders/>
            <w:shd w:fill="CCEEFF" w:val="clear"/>
            <w:tcMar>
              <w:bottom w:w="0" w:type="dxa"/>
            </w:tcMar>
            <w:vAlign w:val="center"/>
          </w:tcPr>
          <w:p>
            <w:pPr>
              <w:pStyle w:val="TableContents"/>
              <w:bidi w:val="0"/>
              <w:spacing w:before="0" w:after="283"/>
              <w:jc w:val="right"/>
              <w:rPr/>
            </w:pPr>
            <w:r>
              <w:rPr/>
              <w:t>4.9252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856" w:name="xdx_98A_eus-gaap--ClassOfWarrantOrRightO"/>
            <w:bookmarkEnd w:id="856"/>
          </w:p>
        </w:tc>
        <w:tc>
          <w:tcPr>
            <w:tcW w:w="2054" w:type="dxa"/>
            <w:tcBorders/>
            <w:shd w:fill="CCEEFF" w:val="clear"/>
            <w:tcMar>
              <w:bottom w:w="0" w:type="dxa"/>
            </w:tcMar>
            <w:vAlign w:val="center"/>
          </w:tcPr>
          <w:p>
            <w:pPr>
              <w:pStyle w:val="TableContents"/>
              <w:bidi w:val="0"/>
              <w:spacing w:before="0" w:after="283"/>
              <w:jc w:val="right"/>
              <w:rPr/>
            </w:pPr>
            <w:r>
              <w:rPr/>
              <w:t>49,550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57" w:name="xdx_981_ecustom--WarrantsExpirationDateD"/>
            <w:bookmarkEnd w:id="857"/>
          </w:p>
        </w:tc>
        <w:tc>
          <w:tcPr>
            <w:tcW w:w="1670" w:type="dxa"/>
            <w:tcBorders/>
            <w:shd w:fill="CCEEFF" w:val="clear"/>
            <w:tcMar>
              <w:bottom w:w="0" w:type="dxa"/>
            </w:tcMar>
            <w:vAlign w:val="center"/>
          </w:tcPr>
          <w:p>
            <w:pPr>
              <w:pStyle w:val="TableContents"/>
              <w:bidi w:val="0"/>
              <w:spacing w:before="0" w:after="283"/>
              <w:jc w:val="center"/>
              <w:rPr/>
            </w:pPr>
            <w:r>
              <w:rPr/>
              <w:t>Mar-29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58" w:name="xdx_984_eus-gaap--ClassOfWarrantOrRightE"/>
            <w:bookmarkEnd w:id="858"/>
          </w:p>
        </w:tc>
        <w:tc>
          <w:tcPr>
            <w:tcW w:w="1235" w:type="dxa"/>
            <w:tcBorders/>
            <w:shd w:fill="FFFFFF" w:val="clear"/>
            <w:tcMar>
              <w:bottom w:w="0" w:type="dxa"/>
            </w:tcMar>
            <w:vAlign w:val="center"/>
          </w:tcPr>
          <w:p>
            <w:pPr>
              <w:pStyle w:val="TableContents"/>
              <w:bidi w:val="0"/>
              <w:spacing w:before="0" w:after="283"/>
              <w:jc w:val="right"/>
              <w:rPr/>
            </w:pPr>
            <w:r>
              <w:rPr/>
              <w:t>4.9290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859" w:name="xdx_98D_eus-gaap--ClassOfWarrantOrRightO"/>
            <w:bookmarkEnd w:id="859"/>
          </w:p>
        </w:tc>
        <w:tc>
          <w:tcPr>
            <w:tcW w:w="2054" w:type="dxa"/>
            <w:tcBorders/>
            <w:shd w:fill="FFFFFF" w:val="clear"/>
            <w:tcMar>
              <w:bottom w:w="0" w:type="dxa"/>
            </w:tcMar>
            <w:vAlign w:val="center"/>
          </w:tcPr>
          <w:p>
            <w:pPr>
              <w:pStyle w:val="TableContents"/>
              <w:bidi w:val="0"/>
              <w:spacing w:before="0" w:after="283"/>
              <w:jc w:val="right"/>
              <w:rPr/>
            </w:pPr>
            <w:r>
              <w:rPr/>
              <w:t>71,593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60" w:name="xdx_98A_ecustom--WarrantsExpirationDateD"/>
            <w:bookmarkEnd w:id="860"/>
          </w:p>
        </w:tc>
        <w:tc>
          <w:tcPr>
            <w:tcW w:w="1670" w:type="dxa"/>
            <w:tcBorders/>
            <w:shd w:fill="FFFFFF" w:val="clear"/>
            <w:tcMar>
              <w:bottom w:w="0" w:type="dxa"/>
            </w:tcMar>
            <w:vAlign w:val="center"/>
          </w:tcPr>
          <w:p>
            <w:pPr>
              <w:pStyle w:val="TableContents"/>
              <w:bidi w:val="0"/>
              <w:spacing w:before="0" w:after="283"/>
              <w:jc w:val="center"/>
              <w:rPr/>
            </w:pPr>
            <w:r>
              <w:rPr/>
              <w:t>Mar-29</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61" w:name="xdx_984_eus-gaap--ClassOfWarrantOrRightE"/>
            <w:bookmarkEnd w:id="861"/>
          </w:p>
        </w:tc>
        <w:tc>
          <w:tcPr>
            <w:tcW w:w="1235" w:type="dxa"/>
            <w:tcBorders/>
            <w:shd w:fill="CCEEFF" w:val="clear"/>
            <w:tcMar>
              <w:bottom w:w="0" w:type="dxa"/>
            </w:tcMar>
            <w:vAlign w:val="center"/>
          </w:tcPr>
          <w:p>
            <w:pPr>
              <w:pStyle w:val="TableContents"/>
              <w:bidi w:val="0"/>
              <w:spacing w:before="0" w:after="283"/>
              <w:jc w:val="right"/>
              <w:rPr/>
            </w:pPr>
            <w:r>
              <w:rPr/>
              <w:t>5.1358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862" w:name="xdx_98C_eus-gaap--ClassOfWarrantOrRightO"/>
            <w:bookmarkEnd w:id="862"/>
          </w:p>
        </w:tc>
        <w:tc>
          <w:tcPr>
            <w:tcW w:w="2054" w:type="dxa"/>
            <w:tcBorders/>
            <w:shd w:fill="CCEEFF" w:val="clear"/>
            <w:tcMar>
              <w:bottom w:w="0" w:type="dxa"/>
            </w:tcMar>
            <w:vAlign w:val="center"/>
          </w:tcPr>
          <w:p>
            <w:pPr>
              <w:pStyle w:val="TableContents"/>
              <w:bidi w:val="0"/>
              <w:spacing w:before="0" w:after="283"/>
              <w:jc w:val="right"/>
              <w:rPr/>
            </w:pPr>
            <w:r>
              <w:rPr/>
              <w:t>99,243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63" w:name="xdx_98D_ecustom--WarrantsExpirationDateD"/>
            <w:bookmarkEnd w:id="863"/>
          </w:p>
        </w:tc>
        <w:tc>
          <w:tcPr>
            <w:tcW w:w="1670" w:type="dxa"/>
            <w:tcBorders/>
            <w:shd w:fill="CCEEFF" w:val="clear"/>
            <w:tcMar>
              <w:bottom w:w="0" w:type="dxa"/>
            </w:tcMar>
            <w:vAlign w:val="center"/>
          </w:tcPr>
          <w:p>
            <w:pPr>
              <w:pStyle w:val="TableContents"/>
              <w:bidi w:val="0"/>
              <w:spacing w:before="0" w:after="283"/>
              <w:jc w:val="center"/>
              <w:rPr/>
            </w:pPr>
            <w:r>
              <w:rPr/>
              <w:t>Jul-28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64" w:name="xdx_981_eus-gaap--ClassOfWarrantOrRightE"/>
            <w:bookmarkEnd w:id="864"/>
          </w:p>
        </w:tc>
        <w:tc>
          <w:tcPr>
            <w:tcW w:w="1235" w:type="dxa"/>
            <w:tcBorders/>
            <w:shd w:fill="FFFFFF" w:val="clear"/>
            <w:tcMar>
              <w:bottom w:w="0" w:type="dxa"/>
            </w:tcMar>
            <w:vAlign w:val="center"/>
          </w:tcPr>
          <w:p>
            <w:pPr>
              <w:pStyle w:val="TableContents"/>
              <w:bidi w:val="0"/>
              <w:spacing w:before="0" w:after="283"/>
              <w:jc w:val="right"/>
              <w:rPr/>
            </w:pPr>
            <w:r>
              <w:rPr/>
              <w:t>7.1810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865" w:name="xdx_983_eus-gaap--ClassOfWarrantOrRightO"/>
            <w:bookmarkEnd w:id="865"/>
          </w:p>
        </w:tc>
        <w:tc>
          <w:tcPr>
            <w:tcW w:w="2054" w:type="dxa"/>
            <w:tcBorders/>
            <w:shd w:fill="FFFFFF" w:val="clear"/>
            <w:tcMar>
              <w:bottom w:w="0" w:type="dxa"/>
            </w:tcMar>
            <w:vAlign w:val="center"/>
          </w:tcPr>
          <w:p>
            <w:pPr>
              <w:pStyle w:val="TableContents"/>
              <w:bidi w:val="0"/>
              <w:spacing w:before="0" w:after="283"/>
              <w:jc w:val="right"/>
              <w:rPr/>
            </w:pPr>
            <w:r>
              <w:rPr/>
              <w:t>83,270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66" w:name="xdx_98C_ecustom--WarrantsExpirationDateD"/>
            <w:bookmarkEnd w:id="866"/>
          </w:p>
        </w:tc>
        <w:tc>
          <w:tcPr>
            <w:tcW w:w="1670" w:type="dxa"/>
            <w:tcBorders/>
            <w:shd w:fill="FFFFFF" w:val="clear"/>
            <w:tcMar>
              <w:bottom w:w="0" w:type="dxa"/>
            </w:tcMar>
            <w:vAlign w:val="center"/>
          </w:tcPr>
          <w:p>
            <w:pPr>
              <w:pStyle w:val="TableContents"/>
              <w:bidi w:val="0"/>
              <w:spacing w:before="0" w:after="283"/>
              <w:jc w:val="center"/>
              <w:rPr/>
            </w:pPr>
            <w:r>
              <w:rPr/>
              <w:t>Jul-28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67" w:name="xdx_982_eus-gaap--ClassOfWarrantOrRightE"/>
            <w:bookmarkEnd w:id="867"/>
          </w:p>
        </w:tc>
        <w:tc>
          <w:tcPr>
            <w:tcW w:w="1235" w:type="dxa"/>
            <w:tcBorders/>
            <w:shd w:fill="CCEEFF" w:val="clear"/>
            <w:tcMar>
              <w:bottom w:w="0" w:type="dxa"/>
            </w:tcMar>
            <w:vAlign w:val="center"/>
          </w:tcPr>
          <w:p>
            <w:pPr>
              <w:pStyle w:val="TableContents"/>
              <w:bidi w:val="0"/>
              <w:spacing w:before="0" w:after="283"/>
              <w:jc w:val="right"/>
              <w:rPr/>
            </w:pPr>
            <w:r>
              <w:rPr/>
              <w:t>7.5020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868" w:name="xdx_98E_eus-gaap--ClassOfWarrantOrRightO"/>
            <w:bookmarkEnd w:id="868"/>
          </w:p>
        </w:tc>
        <w:tc>
          <w:tcPr>
            <w:tcW w:w="2054" w:type="dxa"/>
            <w:tcBorders/>
            <w:shd w:fill="CCEEFF" w:val="clear"/>
            <w:tcMar>
              <w:bottom w:w="0" w:type="dxa"/>
            </w:tcMar>
            <w:vAlign w:val="center"/>
          </w:tcPr>
          <w:p>
            <w:pPr>
              <w:pStyle w:val="TableContents"/>
              <w:bidi w:val="0"/>
              <w:spacing w:before="0" w:after="283"/>
              <w:jc w:val="right"/>
              <w:rPr/>
            </w:pPr>
            <w:r>
              <w:rPr/>
              <w:t>9,846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69" w:name="xdx_989_ecustom--WarrantsExpirationDateD"/>
            <w:bookmarkEnd w:id="869"/>
          </w:p>
        </w:tc>
        <w:tc>
          <w:tcPr>
            <w:tcW w:w="1670" w:type="dxa"/>
            <w:tcBorders/>
            <w:shd w:fill="CCEEFF" w:val="clear"/>
            <w:tcMar>
              <w:bottom w:w="0" w:type="dxa"/>
            </w:tcMar>
            <w:vAlign w:val="center"/>
          </w:tcPr>
          <w:p>
            <w:pPr>
              <w:pStyle w:val="TableContents"/>
              <w:bidi w:val="0"/>
              <w:spacing w:before="0" w:after="283"/>
              <w:jc w:val="center"/>
              <w:rPr/>
            </w:pPr>
            <w:r>
              <w:rPr/>
              <w:t>Jul-28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70" w:name="xdx_987_eus-gaap--ClassOfWarrantOrRightE"/>
            <w:bookmarkEnd w:id="870"/>
          </w:p>
        </w:tc>
        <w:tc>
          <w:tcPr>
            <w:tcW w:w="1235" w:type="dxa"/>
            <w:tcBorders/>
            <w:shd w:fill="FFFFFF" w:val="clear"/>
            <w:tcMar>
              <w:bottom w:w="0" w:type="dxa"/>
            </w:tcMar>
            <w:vAlign w:val="center"/>
          </w:tcPr>
          <w:p>
            <w:pPr>
              <w:pStyle w:val="TableContents"/>
              <w:bidi w:val="0"/>
              <w:spacing w:before="0" w:after="283"/>
              <w:jc w:val="right"/>
              <w:rPr/>
            </w:pPr>
            <w:r>
              <w:rPr/>
              <w:t>7.9630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871" w:name="xdx_988_eus-gaap--ClassOfWarrantOrRightO"/>
            <w:bookmarkEnd w:id="871"/>
          </w:p>
        </w:tc>
        <w:tc>
          <w:tcPr>
            <w:tcW w:w="2054" w:type="dxa"/>
            <w:tcBorders/>
            <w:shd w:fill="FFFFFF" w:val="clear"/>
            <w:tcMar>
              <w:bottom w:w="0" w:type="dxa"/>
            </w:tcMar>
            <w:vAlign w:val="center"/>
          </w:tcPr>
          <w:p>
            <w:pPr>
              <w:pStyle w:val="TableContents"/>
              <w:bidi w:val="0"/>
              <w:spacing w:before="0" w:after="283"/>
              <w:jc w:val="right"/>
              <w:rPr/>
            </w:pPr>
            <w:r>
              <w:rPr/>
              <w:t>21,369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72" w:name="xdx_983_ecustom--WarrantsExpirationDateD"/>
            <w:bookmarkEnd w:id="872"/>
          </w:p>
        </w:tc>
        <w:tc>
          <w:tcPr>
            <w:tcW w:w="1670" w:type="dxa"/>
            <w:tcBorders/>
            <w:shd w:fill="FFFFFF" w:val="clear"/>
            <w:tcMar>
              <w:bottom w:w="0" w:type="dxa"/>
            </w:tcMar>
            <w:vAlign w:val="center"/>
          </w:tcPr>
          <w:p>
            <w:pPr>
              <w:pStyle w:val="TableContents"/>
              <w:bidi w:val="0"/>
              <w:spacing w:before="0" w:after="283"/>
              <w:jc w:val="center"/>
              <w:rPr/>
            </w:pPr>
            <w:r>
              <w:rPr/>
              <w:t>Aug-28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73" w:name="xdx_982_eus-gaap--ClassOfWarrantOrRightE"/>
            <w:bookmarkEnd w:id="873"/>
          </w:p>
        </w:tc>
        <w:tc>
          <w:tcPr>
            <w:tcW w:w="1235" w:type="dxa"/>
            <w:tcBorders/>
            <w:shd w:fill="CCEEFF" w:val="clear"/>
            <w:tcMar>
              <w:bottom w:w="0" w:type="dxa"/>
            </w:tcMar>
            <w:vAlign w:val="center"/>
          </w:tcPr>
          <w:p>
            <w:pPr>
              <w:pStyle w:val="TableContents"/>
              <w:bidi w:val="0"/>
              <w:spacing w:before="0" w:after="283"/>
              <w:jc w:val="right"/>
              <w:rPr/>
            </w:pPr>
            <w:r>
              <w:rPr/>
              <w:t>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874" w:name="xdx_988_eus-gaap--ClassOfWarrantOrRightO"/>
            <w:bookmarkEnd w:id="874"/>
          </w:p>
        </w:tc>
        <w:tc>
          <w:tcPr>
            <w:tcW w:w="2054" w:type="dxa"/>
            <w:tcBorders/>
            <w:shd w:fill="CCEEFF" w:val="clear"/>
            <w:tcMar>
              <w:bottom w:w="0" w:type="dxa"/>
            </w:tcMar>
            <w:vAlign w:val="center"/>
          </w:tcPr>
          <w:p>
            <w:pPr>
              <w:pStyle w:val="TableContents"/>
              <w:bidi w:val="0"/>
              <w:spacing w:before="0" w:after="283"/>
              <w:jc w:val="right"/>
              <w:rPr/>
            </w:pPr>
            <w:r>
              <w:rPr/>
              <w:t>21,709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75" w:name="xdx_98B_ecustom--WarrantsExpirationDateD"/>
            <w:bookmarkEnd w:id="875"/>
          </w:p>
        </w:tc>
        <w:tc>
          <w:tcPr>
            <w:tcW w:w="1670" w:type="dxa"/>
            <w:tcBorders/>
            <w:shd w:fill="CCEEFF" w:val="clear"/>
            <w:tcMar>
              <w:bottom w:w="0" w:type="dxa"/>
            </w:tcMar>
            <w:vAlign w:val="center"/>
          </w:tcPr>
          <w:p>
            <w:pPr>
              <w:pStyle w:val="TableContents"/>
              <w:bidi w:val="0"/>
              <w:spacing w:before="0" w:after="283"/>
              <w:jc w:val="center"/>
              <w:rPr/>
            </w:pPr>
            <w:r>
              <w:rPr/>
              <w:t>Jun-27</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76" w:name="xdx_980_eus-gaap--ClassOfWarrantOrRightE"/>
            <w:bookmarkEnd w:id="876"/>
          </w:p>
        </w:tc>
        <w:tc>
          <w:tcPr>
            <w:tcW w:w="1235" w:type="dxa"/>
            <w:tcBorders/>
            <w:shd w:fill="FFFFFF" w:val="clear"/>
            <w:tcMar>
              <w:bottom w:w="0" w:type="dxa"/>
            </w:tcMar>
            <w:vAlign w:val="center"/>
          </w:tcPr>
          <w:p>
            <w:pPr>
              <w:pStyle w:val="TableContents"/>
              <w:bidi w:val="0"/>
              <w:spacing w:before="0" w:after="283"/>
              <w:jc w:val="right"/>
              <w:rPr/>
            </w:pPr>
            <w:r>
              <w:rPr/>
              <w:t>9.5960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877" w:name="xdx_98A_eus-gaap--ClassOfWarrantOrRightO"/>
            <w:bookmarkEnd w:id="877"/>
          </w:p>
        </w:tc>
        <w:tc>
          <w:tcPr>
            <w:tcW w:w="2054" w:type="dxa"/>
            <w:tcBorders/>
            <w:shd w:fill="FFFFFF" w:val="clear"/>
            <w:tcMar>
              <w:bottom w:w="0" w:type="dxa"/>
            </w:tcMar>
            <w:vAlign w:val="center"/>
          </w:tcPr>
          <w:p>
            <w:pPr>
              <w:pStyle w:val="TableContents"/>
              <w:bidi w:val="0"/>
              <w:spacing w:before="0" w:after="283"/>
              <w:jc w:val="right"/>
              <w:rPr/>
            </w:pPr>
            <w:r>
              <w:rPr/>
              <w:t>84,390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78" w:name="xdx_984_ecustom--WarrantsExpirationDateD"/>
            <w:bookmarkEnd w:id="878"/>
          </w:p>
        </w:tc>
        <w:tc>
          <w:tcPr>
            <w:tcW w:w="1670" w:type="dxa"/>
            <w:tcBorders/>
            <w:shd w:fill="FFFFFF" w:val="clear"/>
            <w:tcMar>
              <w:bottom w:w="0" w:type="dxa"/>
            </w:tcMar>
            <w:vAlign w:val="center"/>
          </w:tcPr>
          <w:p>
            <w:pPr>
              <w:pStyle w:val="TableContents"/>
              <w:bidi w:val="0"/>
              <w:spacing w:before="0" w:after="283"/>
              <w:jc w:val="center"/>
              <w:rPr/>
            </w:pPr>
            <w:r>
              <w:rPr/>
              <w:t>Jan-29</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79" w:name="xdx_985_eus-gaap--ClassOfWarrantOrRightE"/>
            <w:bookmarkEnd w:id="879"/>
          </w:p>
        </w:tc>
        <w:tc>
          <w:tcPr>
            <w:tcW w:w="1235" w:type="dxa"/>
            <w:tcBorders/>
            <w:shd w:fill="CCEEFF" w:val="clear"/>
            <w:tcMar>
              <w:bottom w:w="0" w:type="dxa"/>
            </w:tcMar>
            <w:vAlign w:val="center"/>
          </w:tcPr>
          <w:p>
            <w:pPr>
              <w:pStyle w:val="TableContents"/>
              <w:bidi w:val="0"/>
              <w:spacing w:before="0" w:after="283"/>
              <w:jc w:val="right"/>
              <w:rPr/>
            </w:pPr>
            <w:r>
              <w:rPr/>
              <w:t>10.0992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880" w:name="xdx_989_eus-gaap--ClassOfWarrantOrRightO"/>
            <w:bookmarkEnd w:id="880"/>
          </w:p>
        </w:tc>
        <w:tc>
          <w:tcPr>
            <w:tcW w:w="2054" w:type="dxa"/>
            <w:tcBorders/>
            <w:shd w:fill="CCEEFF" w:val="clear"/>
            <w:tcMar>
              <w:bottom w:w="0" w:type="dxa"/>
            </w:tcMar>
            <w:vAlign w:val="center"/>
          </w:tcPr>
          <w:p>
            <w:pPr>
              <w:pStyle w:val="TableContents"/>
              <w:bidi w:val="0"/>
              <w:spacing w:before="0" w:after="283"/>
              <w:jc w:val="right"/>
              <w:rPr/>
            </w:pPr>
            <w:r>
              <w:rPr/>
              <w:t>19,118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81" w:name="xdx_98A_ecustom--WarrantsExpirationDateD"/>
            <w:bookmarkEnd w:id="881"/>
          </w:p>
        </w:tc>
        <w:tc>
          <w:tcPr>
            <w:tcW w:w="1670" w:type="dxa"/>
            <w:tcBorders/>
            <w:shd w:fill="CCEEFF" w:val="clear"/>
            <w:tcMar>
              <w:bottom w:w="0" w:type="dxa"/>
            </w:tcMar>
            <w:vAlign w:val="center"/>
          </w:tcPr>
          <w:p>
            <w:pPr>
              <w:pStyle w:val="TableContents"/>
              <w:bidi w:val="0"/>
              <w:spacing w:before="0" w:after="283"/>
              <w:jc w:val="center"/>
              <w:rPr/>
            </w:pPr>
            <w:r>
              <w:rPr/>
              <w:t>Aug-28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82" w:name="xdx_989_eus-gaap--ClassOfWarrantOrRightE"/>
            <w:bookmarkEnd w:id="882"/>
          </w:p>
        </w:tc>
        <w:tc>
          <w:tcPr>
            <w:tcW w:w="1235" w:type="dxa"/>
            <w:tcBorders/>
            <w:shd w:fill="FFFFFF" w:val="clear"/>
            <w:tcMar>
              <w:bottom w:w="0" w:type="dxa"/>
            </w:tcMar>
            <w:vAlign w:val="center"/>
          </w:tcPr>
          <w:p>
            <w:pPr>
              <w:pStyle w:val="TableContents"/>
              <w:bidi w:val="0"/>
              <w:spacing w:before="0" w:after="283"/>
              <w:jc w:val="right"/>
              <w:rPr/>
            </w:pPr>
            <w:r>
              <w:rPr/>
              <w:t>10.2600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883" w:name="xdx_984_eus-gaap--ClassOfWarrantOrRightO"/>
            <w:bookmarkEnd w:id="883"/>
          </w:p>
        </w:tc>
        <w:tc>
          <w:tcPr>
            <w:tcW w:w="2054" w:type="dxa"/>
            <w:tcBorders/>
            <w:shd w:fill="FFFFFF" w:val="clear"/>
            <w:tcMar>
              <w:bottom w:w="0" w:type="dxa"/>
            </w:tcMar>
            <w:vAlign w:val="center"/>
          </w:tcPr>
          <w:p>
            <w:pPr>
              <w:pStyle w:val="TableContents"/>
              <w:bidi w:val="0"/>
              <w:spacing w:before="0" w:after="283"/>
              <w:jc w:val="right"/>
              <w:rPr/>
            </w:pPr>
            <w:r>
              <w:rPr/>
              <w:t>51,705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84" w:name="xdx_985_ecustom--WarrantsExpirationDateD"/>
            <w:bookmarkEnd w:id="884"/>
          </w:p>
        </w:tc>
        <w:tc>
          <w:tcPr>
            <w:tcW w:w="1670" w:type="dxa"/>
            <w:tcBorders/>
            <w:shd w:fill="FFFFFF" w:val="clear"/>
            <w:tcMar>
              <w:bottom w:w="0" w:type="dxa"/>
            </w:tcMar>
            <w:vAlign w:val="center"/>
          </w:tcPr>
          <w:p>
            <w:pPr>
              <w:pStyle w:val="TableContents"/>
              <w:bidi w:val="0"/>
              <w:spacing w:before="0" w:after="283"/>
              <w:jc w:val="center"/>
              <w:rPr/>
            </w:pPr>
            <w:r>
              <w:rPr/>
              <w:t>Sep-28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85" w:name="xdx_980_eus-gaap--ClassOfWarrantOrRightE"/>
            <w:bookmarkEnd w:id="885"/>
          </w:p>
        </w:tc>
        <w:tc>
          <w:tcPr>
            <w:tcW w:w="1235" w:type="dxa"/>
            <w:tcBorders/>
            <w:shd w:fill="CCEEFF" w:val="clear"/>
            <w:tcMar>
              <w:bottom w:w="0" w:type="dxa"/>
            </w:tcMar>
            <w:vAlign w:val="center"/>
          </w:tcPr>
          <w:p>
            <w:pPr>
              <w:pStyle w:val="TableContents"/>
              <w:bidi w:val="0"/>
              <w:spacing w:before="0" w:after="283"/>
              <w:jc w:val="right"/>
              <w:rPr/>
            </w:pPr>
            <w:r>
              <w:rPr/>
              <w:t>10.4678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886" w:name="xdx_989_eus-gaap--ClassOfWarrantOrRightO"/>
            <w:bookmarkEnd w:id="886"/>
          </w:p>
        </w:tc>
        <w:tc>
          <w:tcPr>
            <w:tcW w:w="2054" w:type="dxa"/>
            <w:tcBorders/>
            <w:shd w:fill="CCEEFF" w:val="clear"/>
            <w:tcMar>
              <w:bottom w:w="0" w:type="dxa"/>
            </w:tcMar>
            <w:vAlign w:val="center"/>
          </w:tcPr>
          <w:p>
            <w:pPr>
              <w:pStyle w:val="TableContents"/>
              <w:bidi w:val="0"/>
              <w:spacing w:before="0" w:after="283"/>
              <w:jc w:val="right"/>
              <w:rPr/>
            </w:pPr>
            <w:r>
              <w:rPr/>
              <w:t>84,296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87" w:name="xdx_980_ecustom--WarrantsExpirationDateD"/>
            <w:bookmarkEnd w:id="887"/>
          </w:p>
        </w:tc>
        <w:tc>
          <w:tcPr>
            <w:tcW w:w="1670" w:type="dxa"/>
            <w:tcBorders/>
            <w:shd w:fill="CCEEFF" w:val="clear"/>
            <w:tcMar>
              <w:bottom w:w="0" w:type="dxa"/>
            </w:tcMar>
            <w:vAlign w:val="center"/>
          </w:tcPr>
          <w:p>
            <w:pPr>
              <w:pStyle w:val="TableContents"/>
              <w:bidi w:val="0"/>
              <w:spacing w:before="0" w:after="283"/>
              <w:jc w:val="center"/>
              <w:rPr/>
            </w:pPr>
            <w:r>
              <w:rPr/>
              <w:t>Sep-28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88" w:name="xdx_98F_eus-gaap--ClassOfWarrantOrRightE"/>
            <w:bookmarkEnd w:id="888"/>
          </w:p>
        </w:tc>
        <w:tc>
          <w:tcPr>
            <w:tcW w:w="1235" w:type="dxa"/>
            <w:tcBorders/>
            <w:shd w:fill="FFFFFF" w:val="clear"/>
            <w:tcMar>
              <w:bottom w:w="0" w:type="dxa"/>
            </w:tcMar>
            <w:vAlign w:val="center"/>
          </w:tcPr>
          <w:p>
            <w:pPr>
              <w:pStyle w:val="TableContents"/>
              <w:bidi w:val="0"/>
              <w:spacing w:before="0" w:after="283"/>
              <w:jc w:val="right"/>
              <w:rPr/>
            </w:pPr>
            <w:r>
              <w:rPr/>
              <w:t>11.3000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889" w:name="xdx_98E_eus-gaap--ClassOfWarrantOrRightO"/>
            <w:bookmarkEnd w:id="889"/>
          </w:p>
        </w:tc>
        <w:tc>
          <w:tcPr>
            <w:tcW w:w="2054" w:type="dxa"/>
            <w:tcBorders/>
            <w:shd w:fill="FFFFFF" w:val="clear"/>
            <w:tcMar>
              <w:bottom w:w="0" w:type="dxa"/>
            </w:tcMar>
            <w:vAlign w:val="center"/>
          </w:tcPr>
          <w:p>
            <w:pPr>
              <w:pStyle w:val="TableContents"/>
              <w:bidi w:val="0"/>
              <w:spacing w:before="0" w:after="283"/>
              <w:jc w:val="right"/>
              <w:rPr/>
            </w:pPr>
            <w:r>
              <w:rPr/>
              <w:t>40,417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90" w:name="xdx_98B_ecustom--WarrantsExpirationDateD"/>
            <w:bookmarkEnd w:id="890"/>
          </w:p>
        </w:tc>
        <w:tc>
          <w:tcPr>
            <w:tcW w:w="1670" w:type="dxa"/>
            <w:tcBorders/>
            <w:shd w:fill="FFFFFF" w:val="clear"/>
            <w:tcMar>
              <w:bottom w:w="0" w:type="dxa"/>
            </w:tcMar>
            <w:vAlign w:val="center"/>
          </w:tcPr>
          <w:p>
            <w:pPr>
              <w:pStyle w:val="TableContents"/>
              <w:bidi w:val="0"/>
              <w:spacing w:before="0" w:after="283"/>
              <w:jc w:val="center"/>
              <w:rPr/>
            </w:pPr>
            <w:r>
              <w:rPr/>
              <w:t>Oct-28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91" w:name="xdx_985_eus-gaap--ClassOfWarrantOrRightE"/>
            <w:bookmarkEnd w:id="891"/>
          </w:p>
        </w:tc>
        <w:tc>
          <w:tcPr>
            <w:tcW w:w="1235" w:type="dxa"/>
            <w:tcBorders/>
            <w:shd w:fill="CCEEFF" w:val="clear"/>
            <w:tcMar>
              <w:bottom w:w="0" w:type="dxa"/>
            </w:tcMar>
            <w:vAlign w:val="center"/>
          </w:tcPr>
          <w:p>
            <w:pPr>
              <w:pStyle w:val="TableContents"/>
              <w:bidi w:val="0"/>
              <w:spacing w:before="0" w:after="283"/>
              <w:jc w:val="right"/>
              <w:rPr/>
            </w:pPr>
            <w:r>
              <w:rPr/>
              <w:t>13.2800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892" w:name="xdx_986_eus-gaap--ClassOfWarrantOrRightO"/>
            <w:bookmarkEnd w:id="892"/>
          </w:p>
        </w:tc>
        <w:tc>
          <w:tcPr>
            <w:tcW w:w="2054" w:type="dxa"/>
            <w:tcBorders/>
            <w:shd w:fill="CCEEFF" w:val="clear"/>
            <w:tcMar>
              <w:bottom w:w="0" w:type="dxa"/>
            </w:tcMar>
            <w:vAlign w:val="center"/>
          </w:tcPr>
          <w:p>
            <w:pPr>
              <w:pStyle w:val="TableContents"/>
              <w:bidi w:val="0"/>
              <w:spacing w:before="0" w:after="283"/>
              <w:jc w:val="right"/>
              <w:rPr/>
            </w:pPr>
            <w:r>
              <w:rPr/>
              <w:t>96,198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93" w:name="xdx_985_ecustom--WarrantsExpirationDateD"/>
            <w:bookmarkEnd w:id="893"/>
          </w:p>
        </w:tc>
        <w:tc>
          <w:tcPr>
            <w:tcW w:w="1670" w:type="dxa"/>
            <w:tcBorders/>
            <w:shd w:fill="CCEEFF" w:val="clear"/>
            <w:tcMar>
              <w:bottom w:w="0" w:type="dxa"/>
            </w:tcMar>
            <w:vAlign w:val="center"/>
          </w:tcPr>
          <w:p>
            <w:pPr>
              <w:pStyle w:val="TableContents"/>
              <w:bidi w:val="0"/>
              <w:spacing w:before="0" w:after="283"/>
              <w:jc w:val="center"/>
              <w:rPr/>
            </w:pPr>
            <w:r>
              <w:rPr/>
              <w:t>Nov-28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894" w:name="xdx_988_eus-gaap--ClassOfWarrantOrRightE"/>
            <w:bookmarkEnd w:id="894"/>
          </w:p>
        </w:tc>
        <w:tc>
          <w:tcPr>
            <w:tcW w:w="1235" w:type="dxa"/>
            <w:tcBorders/>
            <w:shd w:fill="FFFFFF" w:val="clear"/>
            <w:tcMar>
              <w:bottom w:w="0" w:type="dxa"/>
            </w:tcMar>
            <w:vAlign w:val="center"/>
          </w:tcPr>
          <w:p>
            <w:pPr>
              <w:pStyle w:val="TableContents"/>
              <w:bidi w:val="0"/>
              <w:spacing w:before="0" w:after="283"/>
              <w:jc w:val="right"/>
              <w:rPr/>
            </w:pPr>
            <w:r>
              <w:rPr/>
              <w:t>48.0000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895" w:name="xdx_982_eus-gaap--ClassOfWarrantOrRightO"/>
            <w:bookmarkEnd w:id="895"/>
          </w:p>
        </w:tc>
        <w:tc>
          <w:tcPr>
            <w:tcW w:w="2054"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896" w:name="xdx_986_ecustom--WarrantsExpirationDateD"/>
            <w:bookmarkEnd w:id="896"/>
          </w:p>
        </w:tc>
        <w:tc>
          <w:tcPr>
            <w:tcW w:w="1670" w:type="dxa"/>
            <w:tcBorders/>
            <w:shd w:fill="FFFFFF" w:val="clear"/>
            <w:tcMar>
              <w:bottom w:w="0" w:type="dxa"/>
            </w:tcMar>
            <w:vAlign w:val="center"/>
          </w:tcPr>
          <w:p>
            <w:pPr>
              <w:pStyle w:val="TableContents"/>
              <w:bidi w:val="0"/>
              <w:spacing w:before="0" w:after="283"/>
              <w:jc w:val="center"/>
              <w:rPr/>
            </w:pPr>
            <w:r>
              <w:rPr/>
              <w:t>Jul-26</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897" w:name="xdx_981_eus-gaap--ClassOfWarrantOrRightE"/>
            <w:bookmarkEnd w:id="897"/>
          </w:p>
        </w:tc>
        <w:tc>
          <w:tcPr>
            <w:tcW w:w="1235" w:type="dxa"/>
            <w:tcBorders/>
            <w:shd w:fill="CCEEFF" w:val="clear"/>
            <w:tcMar>
              <w:bottom w:w="0" w:type="dxa"/>
            </w:tcMar>
            <w:vAlign w:val="center"/>
          </w:tcPr>
          <w:p>
            <w:pPr>
              <w:pStyle w:val="TableContents"/>
              <w:bidi w:val="0"/>
              <w:spacing w:before="0" w:after="283"/>
              <w:jc w:val="right"/>
              <w:rPr/>
            </w:pPr>
            <w:r>
              <w:rPr/>
              <w:t>61.6000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bookmarkStart w:id="898" w:name="xdx_98D_eus-gaap--ClassOfWarrantOrRightO"/>
            <w:bookmarkEnd w:id="898"/>
          </w:p>
        </w:tc>
        <w:tc>
          <w:tcPr>
            <w:tcW w:w="2054" w:type="dxa"/>
            <w:tcBorders>
              <w:bottom w:val="single" w:sz="8" w:space="0" w:color="000000"/>
            </w:tcBorders>
            <w:shd w:fill="CCEEFF" w:val="clear"/>
            <w:vAlign w:val="center"/>
          </w:tcPr>
          <w:p>
            <w:pPr>
              <w:pStyle w:val="TableContents"/>
              <w:bidi w:val="0"/>
              <w:spacing w:before="0" w:after="283"/>
              <w:jc w:val="right"/>
              <w:rPr/>
            </w:pPr>
            <w:r>
              <w:rPr/>
              <w:t>56,892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899" w:name="xdx_98F_ecustom--WarrantsExpirationDateD"/>
            <w:bookmarkEnd w:id="899"/>
          </w:p>
        </w:tc>
        <w:tc>
          <w:tcPr>
            <w:tcW w:w="1670" w:type="dxa"/>
            <w:tcBorders/>
            <w:shd w:fill="CCEEFF" w:val="clear"/>
            <w:tcMar>
              <w:bottom w:w="0" w:type="dxa"/>
            </w:tcMar>
            <w:vAlign w:val="center"/>
          </w:tcPr>
          <w:p>
            <w:pPr>
              <w:pStyle w:val="TableContents"/>
              <w:bidi w:val="0"/>
              <w:spacing w:before="0" w:after="283"/>
              <w:jc w:val="center"/>
              <w:rPr/>
            </w:pPr>
            <w:r>
              <w:rPr/>
              <w:t>Nov-27</w:t>
            </w:r>
          </w:p>
        </w:tc>
      </w:tr>
      <w:tr>
        <w:trPr/>
        <w:tc>
          <w:tcPr>
            <w:tcW w:w="239"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900" w:name="xdx_983_eus-gaap--ClassOfWarrantOrRightO"/>
            <w:bookmarkEnd w:id="900"/>
          </w:p>
        </w:tc>
        <w:tc>
          <w:tcPr>
            <w:tcW w:w="2054" w:type="dxa"/>
            <w:tcBorders/>
            <w:shd w:fill="FFFFFF" w:val="clear"/>
            <w:tcMar>
              <w:bottom w:w="0" w:type="dxa"/>
            </w:tcMar>
            <w:vAlign w:val="center"/>
          </w:tcPr>
          <w:p>
            <w:pPr>
              <w:pStyle w:val="TableContents"/>
              <w:bidi w:val="0"/>
              <w:spacing w:before="0" w:after="283"/>
              <w:jc w:val="right"/>
              <w:rPr/>
            </w:pPr>
            <w:r>
              <w:rPr/>
              <w:t>1,647,885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01" w:name="xdx_8AA_zibt3dcREwB2"/>
      <w:bookmarkEnd w:id="90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issued </w:t>
      </w:r>
      <w:bookmarkStart w:id="902" w:name="xdx_90C_ecustom--StockIssuedDuringPeriod"/>
      <w:bookmarkEnd w:id="902"/>
      <w:r>
        <w:rPr>
          <w:rFonts w:ascii="Times New Roman;Times;Serif" w:hAnsi="Times New Roman;Times;Serif"/>
          <w:b w:val="false"/>
          <w:i w:val="false"/>
          <w:caps w:val="false"/>
          <w:smallCaps w:val="false"/>
          <w:sz w:val="20"/>
        </w:rPr>
        <w:t xml:space="preserve">54,647 shares of its common stock upon cashless exercise of </w:t>
      </w:r>
      <w:bookmarkStart w:id="903" w:name="xdx_90A_eus-gaap--ClassOfWarrantOrRightN"/>
      <w:bookmarkEnd w:id="903"/>
      <w:r>
        <w:rPr>
          <w:rFonts w:ascii="Times New Roman;Times;Serif" w:hAnsi="Times New Roman;Times;Serif"/>
          <w:b w:val="false"/>
          <w:i w:val="false"/>
          <w:caps w:val="false"/>
          <w:smallCaps w:val="false"/>
          <w:sz w:val="20"/>
        </w:rPr>
        <w:t>87,984 warrants to purchase shares of common stock, pursuant to the formula set forth in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04" w:name="xdx_895_eus-gaap--ScheduleOfStockholders"/>
      <w:bookmarkEnd w:id="904"/>
      <w:r>
        <w:rPr>
          <w:rFonts w:ascii="Times New Roman;Times;Serif" w:hAnsi="Times New Roman;Times;Serif"/>
          <w:b w:val="false"/>
          <w:i w:val="false"/>
          <w:caps w:val="false"/>
          <w:smallCaps w:val="false"/>
          <w:sz w:val="20"/>
        </w:rPr>
        <w:t>A summary of the warrant activity for six months ended June 30, 2026 is as follows:</w:t>
      </w:r>
    </w:p>
    <w:p>
      <w:pPr>
        <w:pStyle w:val="TextBody"/>
        <w:bidi w:val="0"/>
        <w:spacing w:before="0" w:after="0"/>
        <w:ind w:left="0" w:right="0" w:hanging="0"/>
        <w:jc w:val="both"/>
        <w:rPr>
          <w:caps w:val="false"/>
          <w:smallCaps w:val="false"/>
        </w:rPr>
      </w:pPr>
      <w:r>
        <w:rPr>
          <w:caps w:val="false"/>
          <w:smallCaps w:val="false"/>
        </w:rPr>
        <w:t> </w:t>
      </w:r>
      <w:bookmarkStart w:id="905" w:name="xdx_8BA_zVM6Ew1DIRTe"/>
      <w:bookmarkEnd w:id="905"/>
      <w:r>
        <w:rPr>
          <w:rFonts w:ascii="Times New Roman;Times;Serif" w:hAnsi="Times New Roman;Times;Serif"/>
          <w:b w:val="false"/>
          <w:i w:val="false"/>
          <w:caps w:val="false"/>
          <w:smallCaps w:val="false"/>
          <w:sz w:val="20"/>
        </w:rPr>
        <w:t>SCHEDULE OF WARRANT ACTIVITY</w:t>
      </w:r>
    </w:p>
    <w:tbl>
      <w:tblPr>
        <w:tblW w:w="10205" w:type="dxa"/>
        <w:jc w:val="left"/>
        <w:tblInd w:w="0" w:type="dxa"/>
        <w:tblLayout w:type="fixed"/>
        <w:tblCellMar>
          <w:top w:w="0" w:type="dxa"/>
          <w:left w:w="0" w:type="dxa"/>
          <w:bottom w:w="0" w:type="dxa"/>
          <w:right w:w="0" w:type="dxa"/>
        </w:tblCellMar>
      </w:tblPr>
      <w:tblGrid>
        <w:gridCol w:w="4152"/>
        <w:gridCol w:w="60"/>
        <w:gridCol w:w="60"/>
        <w:gridCol w:w="980"/>
        <w:gridCol w:w="95"/>
        <w:gridCol w:w="60"/>
        <w:gridCol w:w="181"/>
        <w:gridCol w:w="1429"/>
        <w:gridCol w:w="60"/>
        <w:gridCol w:w="60"/>
        <w:gridCol w:w="254"/>
        <w:gridCol w:w="1356"/>
        <w:gridCol w:w="60"/>
        <w:gridCol w:w="60"/>
        <w:gridCol w:w="252"/>
        <w:gridCol w:w="1010"/>
        <w:gridCol w:w="76"/>
      </w:tblGrid>
      <w:tr>
        <w:trPr/>
        <w:tc>
          <w:tcPr>
            <w:tcW w:w="4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tc>
        <w:tc>
          <w:tcPr>
            <w:tcW w:w="76" w:type="dxa"/>
            <w:tcBorders/>
            <w:vAlign w:val="center"/>
          </w:tcPr>
          <w:p>
            <w:pPr>
              <w:pStyle w:val="TableContents"/>
              <w:bidi w:val="0"/>
              <w:spacing w:before="0" w:after="283"/>
              <w:jc w:val="left"/>
              <w:rPr/>
            </w:pPr>
            <w:r>
              <w:rPr/>
              <w:t> </w:t>
            </w:r>
          </w:p>
        </w:tc>
      </w:tr>
      <w:tr>
        <w:trPr/>
        <w:tc>
          <w:tcPr>
            <w:tcW w:w="4152" w:type="dxa"/>
            <w:tcBorders/>
            <w:shd w:fill="CCEEFF" w:val="clear"/>
            <w:vAlign w:val="center"/>
          </w:tcPr>
          <w:p>
            <w:pPr>
              <w:pStyle w:val="TableContents"/>
              <w:bidi w:val="0"/>
              <w:spacing w:before="0" w:after="283"/>
              <w:jc w:val="left"/>
              <w:rPr/>
            </w:pPr>
            <w:r>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06" w:name="xdx_985_eus-gaap--ClassOfWarrantOrRightO"/>
            <w:bookmarkEnd w:id="906"/>
          </w:p>
        </w:tc>
        <w:tc>
          <w:tcPr>
            <w:tcW w:w="980" w:type="dxa"/>
            <w:tcBorders/>
            <w:shd w:fill="CCEEFF" w:val="clear"/>
            <w:vAlign w:val="center"/>
          </w:tcPr>
          <w:p>
            <w:pPr>
              <w:pStyle w:val="TableContents"/>
              <w:bidi w:val="0"/>
              <w:spacing w:before="0" w:after="283"/>
              <w:jc w:val="right"/>
              <w:rPr/>
            </w:pPr>
            <w:r>
              <w:rPr/>
              <w:t>1,735,869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429" w:type="dxa"/>
            <w:tcBorders/>
            <w:shd w:fill="CCEEFF" w:val="clear"/>
            <w:vAlign w:val="center"/>
          </w:tcPr>
          <w:p>
            <w:pPr>
              <w:pStyle w:val="TableContents"/>
              <w:bidi w:val="0"/>
              <w:spacing w:before="0" w:after="283"/>
              <w:jc w:val="right"/>
              <w:rPr/>
            </w:pPr>
            <w:r>
              <w:rPr/>
              <w:t>           </w:t>
            </w:r>
            <w:bookmarkStart w:id="907" w:name="xdx_905_ecustom--ClassOfWarrantOrRightsW"/>
            <w:bookmarkEnd w:id="907"/>
            <w:r>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bookmarkStart w:id="908" w:name="xdx_90B_ecustom--WarrantsOutstandingWeig"/>
            <w:bookmarkEnd w:id="908"/>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bookmarkStart w:id="909" w:name="xdx_98B_eus-gaap--ShareBasedCompensation"/>
            <w:bookmarkEnd w:id="909"/>
          </w:p>
        </w:tc>
        <w:tc>
          <w:tcPr>
            <w:tcW w:w="1010" w:type="dxa"/>
            <w:tcBorders/>
            <w:shd w:fill="CCEEFF" w:val="clear"/>
            <w:vAlign w:val="center"/>
          </w:tcPr>
          <w:p>
            <w:pPr>
              <w:pStyle w:val="TableContents"/>
              <w:bidi w:val="0"/>
              <w:spacing w:before="0" w:after="283"/>
              <w:jc w:val="right"/>
              <w:rPr/>
            </w:pPr>
            <w:r>
              <w:rPr/>
              <w:t>1,415</w:t>
            </w:r>
          </w:p>
        </w:tc>
        <w:tc>
          <w:tcPr>
            <w:tcW w:w="76" w:type="dxa"/>
            <w:tcBorders/>
            <w:shd w:fill="CCEEFF" w:val="clear"/>
            <w:vAlign w:val="center"/>
          </w:tcPr>
          <w:p>
            <w:pPr>
              <w:pStyle w:val="TableContents"/>
              <w:bidi w:val="0"/>
              <w:spacing w:before="0" w:after="283"/>
              <w:jc w:val="left"/>
              <w:rPr/>
            </w:pPr>
            <w:r>
              <w:rPr/>
              <w:t> </w:t>
            </w:r>
          </w:p>
        </w:tc>
      </w:tr>
      <w:tr>
        <w:trPr/>
        <w:tc>
          <w:tcPr>
            <w:tcW w:w="4152"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10" w:name="xdx_98A_ecustom--ClassOfWarrantsOrRightI"/>
            <w:bookmarkEnd w:id="910"/>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152" w:type="dxa"/>
            <w:tcBorders/>
            <w:shd w:fill="CCEEFF" w:val="clear"/>
            <w:vAlign w:val="center"/>
          </w:tcPr>
          <w:p>
            <w:pPr>
              <w:pStyle w:val="TableContents"/>
              <w:bidi w:val="0"/>
              <w:spacing w:before="0" w:after="283"/>
              <w:jc w:val="left"/>
              <w:rPr/>
            </w:pPr>
            <w:r>
              <w:rPr/>
              <w:t>Forfeited/expired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11" w:name="xdx_989_ecustom--ClassOfWarrantsOrRightE"/>
            <w:bookmarkEnd w:id="911"/>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4152"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2" w:name="xdx_98C_ecustom--ClassOfWarrantsOrRightE"/>
            <w:bookmarkEnd w:id="91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(87,984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3" w:name="xdx_986_ecustom--ClassOfWarrantOrRightEx"/>
            <w:bookmarkEnd w:id="913"/>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4152"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14" w:name="xdx_989_eus-gaap--ClassOfWarrantOrRightO"/>
            <w:bookmarkEnd w:id="914"/>
          </w:p>
        </w:tc>
        <w:tc>
          <w:tcPr>
            <w:tcW w:w="980" w:type="dxa"/>
            <w:tcBorders/>
            <w:shd w:fill="CCEEFF" w:val="clear"/>
            <w:vAlign w:val="center"/>
          </w:tcPr>
          <w:p>
            <w:pPr>
              <w:pStyle w:val="TableContents"/>
              <w:bidi w:val="0"/>
              <w:spacing w:before="0" w:after="283"/>
              <w:jc w:val="right"/>
              <w:rPr/>
            </w:pPr>
            <w:r>
              <w:rPr/>
              <w:t>1,647,885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429" w:type="dxa"/>
            <w:tcBorders/>
            <w:shd w:fill="CCEEFF" w:val="clear"/>
            <w:vAlign w:val="center"/>
          </w:tcPr>
          <w:p>
            <w:pPr>
              <w:pStyle w:val="TableContents"/>
              <w:bidi w:val="0"/>
              <w:spacing w:before="0" w:after="283"/>
              <w:jc w:val="right"/>
              <w:rPr/>
            </w:pPr>
            <w:bookmarkStart w:id="915" w:name="xdx_905_ecustom--ClassOfWarrantOrRightsW"/>
            <w:bookmarkEnd w:id="915"/>
            <w:r>
              <w:rPr/>
              <w:t>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bookmarkStart w:id="916" w:name="xdx_90C_ecustom--WarrantsOutstandingWeig"/>
            <w:bookmarkEnd w:id="916"/>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bookmarkStart w:id="917" w:name="xdx_980_eus-gaap--ShareBasedCompensation"/>
            <w:bookmarkEnd w:id="917"/>
          </w:p>
        </w:tc>
        <w:tc>
          <w:tcPr>
            <w:tcW w:w="1010" w:type="dxa"/>
            <w:tcBorders/>
            <w:shd w:fill="CCEEFF" w:val="clear"/>
            <w:vAlign w:val="center"/>
          </w:tcPr>
          <w:p>
            <w:pPr>
              <w:pStyle w:val="TableContents"/>
              <w:bidi w:val="0"/>
              <w:spacing w:before="0" w:after="283"/>
              <w:jc w:val="right"/>
              <w:rPr/>
            </w:pPr>
            <w:r>
              <w:rPr/>
              <w:t>7</w:t>
            </w:r>
          </w:p>
        </w:tc>
        <w:tc>
          <w:tcPr>
            <w:tcW w:w="76" w:type="dxa"/>
            <w:tcBorders/>
            <w:shd w:fill="CCEEFF" w:val="clear"/>
            <w:vAlign w:val="center"/>
          </w:tcPr>
          <w:p>
            <w:pPr>
              <w:pStyle w:val="TableContents"/>
              <w:bidi w:val="0"/>
              <w:spacing w:before="0" w:after="283"/>
              <w:jc w:val="left"/>
              <w:rPr/>
            </w:pPr>
            <w:r>
              <w:rPr/>
              <w:t> </w:t>
            </w:r>
          </w:p>
        </w:tc>
      </w:tr>
      <w:tr>
        <w:trPr/>
        <w:tc>
          <w:tcPr>
            <w:tcW w:w="4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152" w:type="dxa"/>
            <w:tcBorders/>
            <w:shd w:fill="CCEEFF" w:val="clear"/>
            <w:vAlign w:val="center"/>
          </w:tcPr>
          <w:p>
            <w:pPr>
              <w:pStyle w:val="TableContents"/>
              <w:bidi w:val="0"/>
              <w:spacing w:before="0" w:after="283"/>
              <w:jc w:val="left"/>
              <w:rPr/>
            </w:pPr>
            <w:r>
              <w:rPr/>
              <w:t>Vested and expected to vest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18" w:name="xdx_98C_ecustom--ClassOfWarrantOrRightsV"/>
            <w:bookmarkEnd w:id="918"/>
          </w:p>
        </w:tc>
        <w:tc>
          <w:tcPr>
            <w:tcW w:w="980" w:type="dxa"/>
            <w:tcBorders/>
            <w:shd w:fill="CCEEFF" w:val="clear"/>
            <w:vAlign w:val="center"/>
          </w:tcPr>
          <w:p>
            <w:pPr>
              <w:pStyle w:val="TableContents"/>
              <w:bidi w:val="0"/>
              <w:spacing w:before="0" w:after="283"/>
              <w:jc w:val="right"/>
              <w:rPr/>
            </w:pPr>
            <w:r>
              <w:rPr/>
              <w:t>1,647,885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919" w:name="xdx_98F_ecustom--ClassOfWarrantOrRightsW"/>
            <w:bookmarkEnd w:id="919"/>
          </w:p>
        </w:tc>
        <w:tc>
          <w:tcPr>
            <w:tcW w:w="1429" w:type="dxa"/>
            <w:tcBorders/>
            <w:shd w:fill="CCEEFF" w:val="clear"/>
            <w:vAlign w:val="center"/>
          </w:tcPr>
          <w:p>
            <w:pPr>
              <w:pStyle w:val="TableContents"/>
              <w:bidi w:val="0"/>
              <w:spacing w:before="0" w:after="283"/>
              <w:jc w:val="right"/>
              <w:rPr/>
            </w:pPr>
            <w:r>
              <w:rPr/>
              <w:t>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bookmarkStart w:id="920" w:name="xdx_90F_ecustom--WarrantsWeightedAverage"/>
            <w:bookmarkEnd w:id="920"/>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bookmarkStart w:id="921" w:name="xdx_987_eus-gaap--SharebasedCompensation"/>
            <w:bookmarkEnd w:id="921"/>
          </w:p>
        </w:tc>
        <w:tc>
          <w:tcPr>
            <w:tcW w:w="1010" w:type="dxa"/>
            <w:tcBorders/>
            <w:shd w:fill="CCEEFF" w:val="clear"/>
            <w:vAlign w:val="center"/>
          </w:tcPr>
          <w:p>
            <w:pPr>
              <w:pStyle w:val="TableContents"/>
              <w:bidi w:val="0"/>
              <w:spacing w:before="0" w:after="283"/>
              <w:jc w:val="right"/>
              <w:rPr/>
            </w:pPr>
            <w:r>
              <w:rPr/>
              <w:t>7</w:t>
            </w:r>
          </w:p>
        </w:tc>
        <w:tc>
          <w:tcPr>
            <w:tcW w:w="76" w:type="dxa"/>
            <w:tcBorders/>
            <w:shd w:fill="CCEEFF" w:val="clear"/>
            <w:vAlign w:val="center"/>
          </w:tcPr>
          <w:p>
            <w:pPr>
              <w:pStyle w:val="TableContents"/>
              <w:bidi w:val="0"/>
              <w:spacing w:before="0" w:after="283"/>
              <w:jc w:val="left"/>
              <w:rPr/>
            </w:pPr>
            <w:r>
              <w:rPr/>
              <w:t> </w:t>
            </w:r>
          </w:p>
        </w:tc>
      </w:tr>
      <w:tr>
        <w:trPr/>
        <w:tc>
          <w:tcPr>
            <w:tcW w:w="4152"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22" w:name="xdx_987_ecustom--ClassOfWarrantOrRightsE"/>
            <w:bookmarkEnd w:id="922"/>
          </w:p>
        </w:tc>
        <w:tc>
          <w:tcPr>
            <w:tcW w:w="980" w:type="dxa"/>
            <w:tcBorders/>
            <w:shd w:fill="FFFFFF" w:val="clear"/>
            <w:vAlign w:val="center"/>
          </w:tcPr>
          <w:p>
            <w:pPr>
              <w:pStyle w:val="TableContents"/>
              <w:bidi w:val="0"/>
              <w:spacing w:before="0" w:after="283"/>
              <w:jc w:val="right"/>
              <w:rPr/>
            </w:pPr>
            <w:r>
              <w:rPr/>
              <w:t>1,647,885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bookmarkStart w:id="923" w:name="xdx_98F_ecustom--ClassOfWarrantOrRightsW"/>
            <w:bookmarkEnd w:id="923"/>
          </w:p>
        </w:tc>
        <w:tc>
          <w:tcPr>
            <w:tcW w:w="1429" w:type="dxa"/>
            <w:tcBorders/>
            <w:shd w:fill="FFFFFF" w:val="clear"/>
            <w:vAlign w:val="center"/>
          </w:tcPr>
          <w:p>
            <w:pPr>
              <w:pStyle w:val="TableContents"/>
              <w:bidi w:val="0"/>
              <w:spacing w:before="0" w:after="283"/>
              <w:jc w:val="right"/>
              <w:rPr/>
            </w:pPr>
            <w:r>
              <w:rPr/>
              <w:t>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bookmarkStart w:id="924" w:name="xdx_90A_ecustom--WarrantsExercisableWeig"/>
            <w:bookmarkEnd w:id="924"/>
            <w:r>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w:t>
            </w:r>
            <w:bookmarkStart w:id="925" w:name="xdx_981_eus-gaap--ShareBasedCompensation"/>
            <w:bookmarkEnd w:id="925"/>
          </w:p>
        </w:tc>
        <w:tc>
          <w:tcPr>
            <w:tcW w:w="1010" w:type="dxa"/>
            <w:tcBorders/>
            <w:shd w:fill="FFFFFF" w:val="clear"/>
            <w:vAlign w:val="center"/>
          </w:tcPr>
          <w:p>
            <w:pPr>
              <w:pStyle w:val="TableContents"/>
              <w:bidi w:val="0"/>
              <w:spacing w:before="0" w:after="283"/>
              <w:jc w:val="right"/>
              <w:rPr/>
            </w:pPr>
            <w:r>
              <w:rPr/>
              <w:t>7</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926" w:name="xdx_8AB_z17F5J1pXzM7"/>
      <w:bookmarkEnd w:id="9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preceding tables represents the total pretax intrinsic value, based on warrants with an exercise price less than the company’s stock price of $</w:t>
      </w:r>
      <w:bookmarkStart w:id="927" w:name="xdx_907_eus-gaap--SharePrice_iI_pid_c202"/>
      <w:bookmarkEnd w:id="927"/>
      <w:r>
        <w:rPr>
          <w:rFonts w:ascii="Times New Roman;Times;Serif" w:hAnsi="Times New Roman;Times;Serif"/>
          <w:b w:val="false"/>
          <w:i w:val="false"/>
          <w:caps w:val="false"/>
          <w:smallCaps w:val="false"/>
          <w:sz w:val="20"/>
        </w:rPr>
        <w:t>0.85 as of June 30, 2026, which would have been received by the warrant holders had those warrant holders exercised their warrants as of that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8" w:name="xdx_890_eus-gaap--NonvestedRestrictedSto"/>
      <w:bookmarkEnd w:id="928"/>
      <w:r>
        <w:rPr>
          <w:rFonts w:ascii="Times New Roman;Times;Serif" w:hAnsi="Times New Roman;Times;Serif"/>
          <w:b w:val="false"/>
          <w:i w:val="false"/>
          <w:caps w:val="false"/>
          <w:smallCaps w:val="false"/>
          <w:sz w:val="20"/>
        </w:rPr>
        <w:t>The following table summarizes the restricted stock activity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929" w:name="xdx_8B7_zlMTkNYlvcg9"/>
      <w:bookmarkEnd w:id="929"/>
      <w:r>
        <w:rPr>
          <w:rFonts w:ascii="Times New Roman;Times;Serif" w:hAnsi="Times New Roman;Times;Serif"/>
          <w:b w:val="false"/>
          <w:i w:val="false"/>
          <w:caps w:val="false"/>
          <w:smallCaps w:val="false"/>
          <w:sz w:val="20"/>
        </w:rPr>
        <w:t>SCHEDULE OF RESTRICTED STOCK ACTIVITY</w:t>
      </w:r>
    </w:p>
    <w:tbl>
      <w:tblPr>
        <w:tblW w:w="9708" w:type="dxa"/>
        <w:jc w:val="left"/>
        <w:tblInd w:w="0" w:type="dxa"/>
        <w:tblLayout w:type="fixed"/>
        <w:tblCellMar>
          <w:top w:w="0" w:type="dxa"/>
          <w:left w:w="0" w:type="dxa"/>
          <w:bottom w:w="0" w:type="dxa"/>
          <w:right w:w="0" w:type="dxa"/>
        </w:tblCellMar>
      </w:tblPr>
      <w:tblGrid>
        <w:gridCol w:w="4400"/>
        <w:gridCol w:w="60"/>
        <w:gridCol w:w="97"/>
        <w:gridCol w:w="1782"/>
        <w:gridCol w:w="95"/>
        <w:gridCol w:w="60"/>
        <w:gridCol w:w="756"/>
        <w:gridCol w:w="2383"/>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9" w:type="dxa"/>
            <w:gridSpan w:val="2"/>
            <w:tcBorders>
              <w:bottom w:val="single" w:sz="8" w:space="0" w:color="000000"/>
            </w:tcBorders>
            <w:tcMar>
              <w:bottom w:w="28" w:type="dxa"/>
            </w:tcMar>
            <w:vAlign w:val="center"/>
          </w:tcPr>
          <w:p>
            <w:pPr>
              <w:pStyle w:val="TableContents"/>
              <w:bidi w:val="0"/>
              <w:jc w:val="center"/>
              <w:rPr>
                <w:b/>
              </w:rPr>
            </w:pPr>
            <w:r>
              <w:rPr>
                <w:b/>
              </w:rPr>
              <w:t>Weighted-Average Grant Date</w:t>
            </w:r>
          </w:p>
          <w:p>
            <w:pPr>
              <w:pStyle w:val="TableContents"/>
              <w:bidi w:val="0"/>
              <w:spacing w:before="0" w:after="283"/>
              <w:jc w:val="center"/>
              <w:rPr>
                <w:b/>
              </w:rPr>
            </w:pPr>
            <w:r>
              <w:rPr>
                <w:b/>
              </w:rPr>
              <w:t>Fair Value Per Share</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Restricted shares issued as of January 1, 2026</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930" w:name="xdx_98C_eus-gaap--ShareBasedCompensation"/>
            <w:bookmarkEnd w:id="930"/>
          </w:p>
        </w:tc>
        <w:tc>
          <w:tcPr>
            <w:tcW w:w="1782" w:type="dxa"/>
            <w:tcBorders/>
            <w:shd w:fill="CCEEFF" w:val="clear"/>
            <w:vAlign w:val="center"/>
          </w:tcPr>
          <w:p>
            <w:pPr>
              <w:pStyle w:val="TableContents"/>
              <w:bidi w:val="0"/>
              <w:spacing w:before="0" w:after="283"/>
              <w:jc w:val="right"/>
              <w:rPr/>
            </w:pPr>
            <w:r>
              <w:rPr/>
              <w:t>2,037,500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w:t>
            </w:r>
            <w:bookmarkStart w:id="931" w:name="xdx_981_eus-gaap--ShareBasedCompensation"/>
            <w:bookmarkEnd w:id="931"/>
          </w:p>
        </w:tc>
        <w:tc>
          <w:tcPr>
            <w:tcW w:w="2383" w:type="dxa"/>
            <w:tcBorders/>
            <w:shd w:fill="CCEEFF" w:val="clear"/>
            <w:vAlign w:val="center"/>
          </w:tcPr>
          <w:p>
            <w:pPr>
              <w:pStyle w:val="TableContents"/>
              <w:bidi w:val="0"/>
              <w:spacing w:before="0" w:after="283"/>
              <w:jc w:val="right"/>
              <w:rPr/>
            </w:pPr>
            <w:r>
              <w:rPr/>
              <w:t>5.36</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932" w:name="xdx_983_eus-gaap--ShareBasedCompensation"/>
            <w:bookmarkEnd w:id="932"/>
          </w:p>
        </w:tc>
        <w:tc>
          <w:tcPr>
            <w:tcW w:w="1782" w:type="dxa"/>
            <w:tcBorders/>
            <w:shd w:fill="FFFFFF" w:val="clear"/>
            <w:vAlign w:val="center"/>
          </w:tcPr>
          <w:p>
            <w:pPr>
              <w:pStyle w:val="TableContents"/>
              <w:bidi w:val="0"/>
              <w:spacing w:before="0" w:after="283"/>
              <w:jc w:val="right"/>
              <w:rPr/>
            </w:pPr>
            <w:r>
              <w:rPr/>
              <w:t>12,152,741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w:t>
            </w:r>
            <w:bookmarkStart w:id="933" w:name="xdx_988_eus-gaap--ShareBasedCompensation"/>
            <w:bookmarkEnd w:id="933"/>
          </w:p>
        </w:tc>
        <w:tc>
          <w:tcPr>
            <w:tcW w:w="2383" w:type="dxa"/>
            <w:tcBorders/>
            <w:shd w:fill="FFFFFF" w:val="clear"/>
            <w:vAlign w:val="center"/>
          </w:tcPr>
          <w:p>
            <w:pPr>
              <w:pStyle w:val="TableContents"/>
              <w:bidi w:val="0"/>
              <w:spacing w:before="0" w:after="283"/>
              <w:jc w:val="right"/>
              <w:rPr/>
            </w:pPr>
            <w:r>
              <w:rPr/>
              <w:t>2.39</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934" w:name="xdx_983_eus-gaap--ShareBasedCompensation"/>
            <w:bookmarkEnd w:id="934"/>
          </w:p>
        </w:tc>
        <w:tc>
          <w:tcPr>
            <w:tcW w:w="1782" w:type="dxa"/>
            <w:tcBorders/>
            <w:shd w:fill="CCEEFF" w:val="clear"/>
            <w:vAlign w:val="center"/>
          </w:tcPr>
          <w:p>
            <w:pPr>
              <w:pStyle w:val="TableContents"/>
              <w:bidi w:val="0"/>
              <w:spacing w:before="0" w:after="283"/>
              <w:jc w:val="right"/>
              <w:rPr/>
            </w:pPr>
            <w:r>
              <w:rPr/>
              <w:t>(7,902,471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w:t>
            </w:r>
            <w:bookmarkStart w:id="935" w:name="xdx_98B_eus-gaap--ShareBasedCompensation"/>
            <w:bookmarkEnd w:id="935"/>
          </w:p>
        </w:tc>
        <w:tc>
          <w:tcPr>
            <w:tcW w:w="2383" w:type="dxa"/>
            <w:tcBorders/>
            <w:shd w:fill="CCEEFF" w:val="clear"/>
            <w:vAlign w:val="center"/>
          </w:tcPr>
          <w:p>
            <w:pPr>
              <w:pStyle w:val="TableContents"/>
              <w:bidi w:val="0"/>
              <w:spacing w:before="0" w:after="283"/>
              <w:jc w:val="right"/>
              <w:rPr/>
            </w:pPr>
            <w:r>
              <w:rPr/>
              <w:t>3.13</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6" w:name="xdx_985_eus-gaap--ShareBasedCompensation"/>
            <w:bookmarkEnd w:id="936"/>
          </w:p>
        </w:tc>
        <w:tc>
          <w:tcPr>
            <w:tcW w:w="1782" w:type="dxa"/>
            <w:tcBorders>
              <w:bottom w:val="single" w:sz="8" w:space="0" w:color="000000"/>
            </w:tcBorders>
            <w:shd w:fill="FFFFFF" w:val="clear"/>
            <w:tcMar>
              <w:bottom w:w="28" w:type="dxa"/>
            </w:tcMar>
            <w:vAlign w:val="center"/>
          </w:tcPr>
          <w:p>
            <w:pPr>
              <w:pStyle w:val="TableContents"/>
              <w:bidi w:val="0"/>
              <w:spacing w:before="0" w:after="283"/>
              <w:jc w:val="right"/>
              <w:rPr/>
            </w:pPr>
            <w:r>
              <w:rPr/>
              <w:t>(398,500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937" w:name="xdx_989_eus-gaap--ShareBasedCompensation"/>
            <w:bookmarkEnd w:id="937"/>
          </w:p>
        </w:tc>
        <w:tc>
          <w:tcPr>
            <w:tcW w:w="2383" w:type="dxa"/>
            <w:tcBorders>
              <w:bottom w:val="single" w:sz="8" w:space="0" w:color="000000"/>
            </w:tcBorders>
            <w:shd w:fill="FFFFFF" w:val="clear"/>
            <w:tcMar>
              <w:bottom w:w="28" w:type="dxa"/>
            </w:tcMar>
            <w:vAlign w:val="center"/>
          </w:tcPr>
          <w:p>
            <w:pPr>
              <w:pStyle w:val="TableContents"/>
              <w:bidi w:val="0"/>
              <w:spacing w:before="0" w:after="283"/>
              <w:jc w:val="right"/>
              <w:rPr/>
            </w:pPr>
            <w:r>
              <w:rPr/>
              <w:t>3.40</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38" w:name="xdx_981_eus-gaap--ShareBasedCompensation"/>
            <w:bookmarkEnd w:id="938"/>
          </w:p>
        </w:tc>
        <w:tc>
          <w:tcPr>
            <w:tcW w:w="1782" w:type="dxa"/>
            <w:tcBorders>
              <w:bottom w:val="double" w:sz="6" w:space="0" w:color="000000"/>
            </w:tcBorders>
            <w:shd w:fill="CCEEFF" w:val="clear"/>
            <w:tcMar>
              <w:bottom w:w="28" w:type="dxa"/>
            </w:tcMar>
            <w:vAlign w:val="center"/>
          </w:tcPr>
          <w:p>
            <w:pPr>
              <w:pStyle w:val="TableContents"/>
              <w:bidi w:val="0"/>
              <w:spacing w:before="0" w:after="283"/>
              <w:jc w:val="right"/>
              <w:rPr/>
            </w:pPr>
            <w:r>
              <w:rPr/>
              <w:t>5,889,270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39" w:name="xdx_987_eus-gaap--ShareBasedCompensation"/>
            <w:bookmarkEnd w:id="939"/>
          </w:p>
        </w:tc>
        <w:tc>
          <w:tcPr>
            <w:tcW w:w="2383" w:type="dxa"/>
            <w:tcBorders>
              <w:bottom w:val="double" w:sz="6" w:space="0" w:color="000000"/>
            </w:tcBorders>
            <w:shd w:fill="CCEEFF" w:val="clear"/>
            <w:tcMar>
              <w:bottom w:w="28" w:type="dxa"/>
            </w:tcMar>
            <w:vAlign w:val="center"/>
          </w:tcPr>
          <w:p>
            <w:pPr>
              <w:pStyle w:val="TableContents"/>
              <w:bidi w:val="0"/>
              <w:spacing w:before="0" w:after="283"/>
              <w:jc w:val="right"/>
              <w:rPr/>
            </w:pPr>
            <w:r>
              <w:rPr/>
              <w:t>2.37</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Comprised of:</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238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Vested restricted shares as of June 30, 2026</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940" w:name="xdx_982_ecustom--ShareBasedCompensationA"/>
            <w:bookmarkEnd w:id="940"/>
          </w:p>
        </w:tc>
        <w:tc>
          <w:tcPr>
            <w:tcW w:w="17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w:t>
            </w:r>
            <w:bookmarkStart w:id="941" w:name="xdx_983_ecustom--ShareBasedCompensationA"/>
            <w:bookmarkEnd w:id="941"/>
          </w:p>
        </w:tc>
        <w:tc>
          <w:tcPr>
            <w:tcW w:w="238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Unvested restricted shares as of June 30, 2026</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942" w:name="xdx_984_ecustom--ShareBasedCompensationA"/>
            <w:bookmarkEnd w:id="942"/>
          </w:p>
        </w:tc>
        <w:tc>
          <w:tcPr>
            <w:tcW w:w="1782" w:type="dxa"/>
            <w:tcBorders/>
            <w:shd w:fill="FFFFFF" w:val="clear"/>
            <w:vAlign w:val="center"/>
          </w:tcPr>
          <w:p>
            <w:pPr>
              <w:pStyle w:val="TableContents"/>
              <w:bidi w:val="0"/>
              <w:spacing w:before="0" w:after="283"/>
              <w:jc w:val="right"/>
              <w:rPr/>
            </w:pPr>
            <w:r>
              <w:rPr/>
              <w:t>5,889,270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w:t>
            </w:r>
            <w:bookmarkStart w:id="943" w:name="xdx_981_ecustom--ShareBasedCompensationA"/>
            <w:bookmarkEnd w:id="943"/>
          </w:p>
        </w:tc>
        <w:tc>
          <w:tcPr>
            <w:tcW w:w="2383" w:type="dxa"/>
            <w:tcBorders/>
            <w:shd w:fill="FFFFFF" w:val="clear"/>
            <w:vAlign w:val="center"/>
          </w:tcPr>
          <w:p>
            <w:pPr>
              <w:pStyle w:val="TableContents"/>
              <w:bidi w:val="0"/>
              <w:spacing w:before="0" w:after="283"/>
              <w:jc w:val="right"/>
              <w:rPr/>
            </w:pPr>
            <w:r>
              <w:rPr/>
              <w:t>2.37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44" w:name="xdx_8A4_zZyiBwupY6Jd"/>
      <w:bookmarkEnd w:id="9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related to RSU grants was $</w:t>
      </w:r>
      <w:bookmarkStart w:id="945" w:name="xdx_907_eus-gaap--ShareBasedCompensation"/>
      <w:bookmarkEnd w:id="945"/>
      <w:r>
        <w:rPr>
          <w:rFonts w:ascii="Times New Roman;Times;Serif" w:hAnsi="Times New Roman;Times;Serif"/>
          <w:b w:val="false"/>
          <w:i w:val="false"/>
          <w:caps w:val="false"/>
          <w:smallCaps w:val="false"/>
          <w:sz w:val="20"/>
        </w:rPr>
        <w:t>7,136 and $</w:t>
      </w:r>
      <w:bookmarkStart w:id="946" w:name="xdx_90D_eus-gaap--ShareBasedCompensation"/>
      <w:bookmarkEnd w:id="946"/>
      <w:r>
        <w:rPr>
          <w:rFonts w:ascii="Times New Roman;Times;Serif" w:hAnsi="Times New Roman;Times;Serif"/>
          <w:b w:val="false"/>
          <w:i w:val="false"/>
          <w:caps w:val="false"/>
          <w:smallCaps w:val="false"/>
          <w:sz w:val="20"/>
        </w:rPr>
        <w:t>31,681 for the three and six months ended June 30, 2026, respectively, and $</w:t>
      </w:r>
      <w:bookmarkStart w:id="947" w:name="xdx_90F_eus-gaap--ShareBasedCompensation"/>
      <w:bookmarkEnd w:id="947"/>
      <w:r>
        <w:rPr>
          <w:rFonts w:ascii="Times New Roman;Times;Serif" w:hAnsi="Times New Roman;Times;Serif"/>
          <w:b w:val="false"/>
          <w:i w:val="false"/>
          <w:caps w:val="false"/>
          <w:smallCaps w:val="false"/>
          <w:sz w:val="20"/>
        </w:rPr>
        <w:t>11,068 and $</w:t>
      </w:r>
      <w:bookmarkStart w:id="948" w:name="xdx_90B_eus-gaap--ShareBasedCompensation"/>
      <w:bookmarkEnd w:id="948"/>
      <w:r>
        <w:rPr>
          <w:rFonts w:ascii="Times New Roman;Times;Serif" w:hAnsi="Times New Roman;Times;Serif"/>
          <w:b w:val="false"/>
          <w:i w:val="false"/>
          <w:caps w:val="false"/>
          <w:smallCaps w:val="false"/>
          <w:sz w:val="20"/>
        </w:rPr>
        <w:t>13,057 for the three and six months ended June 30, 2025, respectively, which is included in general and administrative expenses in the unaudited condensed consolidated statements of operations. As of June 30, 2026, total unrecognized stock-based compensation cost related to unvested RSUs was approximately $</w:t>
      </w:r>
      <w:bookmarkStart w:id="949" w:name="xdx_90F_eus-gaap--EmployeeServiceShareBa"/>
      <w:bookmarkEnd w:id="949"/>
      <w:r>
        <w:rPr>
          <w:rFonts w:ascii="Times New Roman;Times;Serif" w:hAnsi="Times New Roman;Times;Serif"/>
          <w:b w:val="false"/>
          <w:i w:val="false"/>
          <w:caps w:val="false"/>
          <w:smallCaps w:val="false"/>
          <w:sz w:val="20"/>
        </w:rPr>
        <w:t xml:space="preserve">19,899, which is expected to be recognized over a weighted-average period of approximately </w:t>
      </w:r>
      <w:bookmarkStart w:id="950" w:name="xdx_90C_eus-gaap--SharebasedCompensation"/>
      <w:bookmarkEnd w:id="950"/>
      <w:r>
        <w:rPr>
          <w:rFonts w:ascii="Times New Roman;Times;Serif" w:hAnsi="Times New Roman;Times;Serif"/>
          <w:b w:val="false"/>
          <w:i w:val="false"/>
          <w:caps w:val="false"/>
          <w:smallCaps w:val="false"/>
          <w:sz w:val="20"/>
        </w:rPr>
        <w:t>1.41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terms of individual RSU grants issued during the six months ended June 30, 2026 that were subject to vesting conditions extending beyond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51" w:name="xdx_898_eus-gaap--DisclosureOfShareBased"/>
      <w:bookmarkEnd w:id="951"/>
      <w:r>
        <w:rPr>
          <w:caps w:val="false"/>
          <w:smallCaps w:val="false"/>
        </w:rPr>
        <w:t> </w:t>
      </w:r>
      <w:bookmarkStart w:id="952" w:name="xdx_8BF_zjz022kQL7Wd"/>
      <w:bookmarkEnd w:id="952"/>
      <w:r>
        <w:rPr>
          <w:rFonts w:ascii="Times New Roman;Times;Serif" w:hAnsi="Times New Roman;Times;Serif"/>
          <w:b w:val="false"/>
          <w:i w:val="false"/>
          <w:caps w:val="false"/>
          <w:smallCaps w:val="false"/>
          <w:sz w:val="20"/>
        </w:rPr>
        <w:t>SCHEDULE OF RESTRICTED STOCK UNITS GRANTS</w:t>
      </w:r>
    </w:p>
    <w:tbl>
      <w:tblPr>
        <w:tblW w:w="10205" w:type="dxa"/>
        <w:jc w:val="left"/>
        <w:tblInd w:w="0" w:type="dxa"/>
        <w:tblLayout w:type="fixed"/>
        <w:tblCellMar>
          <w:top w:w="0" w:type="dxa"/>
          <w:left w:w="0" w:type="dxa"/>
          <w:bottom w:w="28" w:type="dxa"/>
          <w:right w:w="0" w:type="dxa"/>
        </w:tblCellMar>
      </w:tblPr>
      <w:tblGrid>
        <w:gridCol w:w="890"/>
        <w:gridCol w:w="60"/>
        <w:gridCol w:w="1809"/>
        <w:gridCol w:w="60"/>
        <w:gridCol w:w="72"/>
        <w:gridCol w:w="1181"/>
        <w:gridCol w:w="60"/>
        <w:gridCol w:w="60"/>
        <w:gridCol w:w="5176"/>
        <w:gridCol w:w="60"/>
        <w:gridCol w:w="140"/>
        <w:gridCol w:w="560"/>
        <w:gridCol w:w="77"/>
      </w:tblGrid>
      <w:tr>
        <w:trPr/>
        <w:tc>
          <w:tcPr>
            <w:tcW w:w="890" w:type="dxa"/>
            <w:tcBorders>
              <w:bottom w:val="single" w:sz="8" w:space="0" w:color="000000"/>
            </w:tcBorders>
            <w:vAlign w:val="center"/>
          </w:tcPr>
          <w:p>
            <w:pPr>
              <w:pStyle w:val="TableContents"/>
              <w:bidi w:val="0"/>
              <w:spacing w:before="0" w:after="283"/>
              <w:jc w:val="center"/>
              <w:rPr>
                <w:b/>
              </w:rPr>
            </w:pPr>
            <w:r>
              <w:rPr>
                <w:b/>
              </w:rPr>
              <w:t>Grant Date</w:t>
            </w:r>
          </w:p>
        </w:tc>
        <w:tc>
          <w:tcPr>
            <w:tcW w:w="60" w:type="dxa"/>
            <w:tcBorders/>
            <w:tcMar>
              <w:bottom w:w="0" w:type="dxa"/>
            </w:tcMar>
            <w:vAlign w:val="center"/>
          </w:tcPr>
          <w:p>
            <w:pPr>
              <w:pStyle w:val="TableContents"/>
              <w:bidi w:val="0"/>
              <w:spacing w:before="0" w:after="283"/>
              <w:jc w:val="left"/>
              <w:rPr/>
            </w:pPr>
            <w:r>
              <w:rPr/>
              <w:t> </w:t>
            </w:r>
          </w:p>
        </w:tc>
        <w:tc>
          <w:tcPr>
            <w:tcW w:w="1809" w:type="dxa"/>
            <w:tcBorders>
              <w:bottom w:val="single" w:sz="8" w:space="0" w:color="000000"/>
            </w:tcBorders>
            <w:vAlign w:val="center"/>
          </w:tcPr>
          <w:p>
            <w:pPr>
              <w:pStyle w:val="TableContents"/>
              <w:bidi w:val="0"/>
              <w:spacing w:before="0" w:after="283"/>
              <w:jc w:val="center"/>
              <w:rPr>
                <w:b/>
              </w:rPr>
            </w:pPr>
            <w:r>
              <w:rPr>
                <w:b/>
              </w:rPr>
              <w:t>Recipient</w:t>
            </w:r>
          </w:p>
        </w:tc>
        <w:tc>
          <w:tcPr>
            <w:tcW w:w="60" w:type="dxa"/>
            <w:tcBorders/>
            <w:tcMar>
              <w:bottom w:w="0" w:type="dxa"/>
            </w:tcMar>
            <w:vAlign w:val="center"/>
          </w:tcPr>
          <w:p>
            <w:pPr>
              <w:pStyle w:val="TableContents"/>
              <w:bidi w:val="0"/>
              <w:spacing w:before="0" w:after="283"/>
              <w:jc w:val="left"/>
              <w:rPr/>
            </w:pPr>
            <w:r>
              <w:rPr/>
              <w:t> </w:t>
            </w:r>
          </w:p>
        </w:tc>
        <w:tc>
          <w:tcPr>
            <w:tcW w:w="1253" w:type="dxa"/>
            <w:gridSpan w:val="2"/>
            <w:tcBorders>
              <w:bottom w:val="single" w:sz="8" w:space="0" w:color="000000"/>
            </w:tcBorders>
            <w:vAlign w:val="center"/>
          </w:tcPr>
          <w:p>
            <w:pPr>
              <w:pStyle w:val="TableContents"/>
              <w:bidi w:val="0"/>
              <w:spacing w:before="0" w:after="283"/>
              <w:jc w:val="center"/>
              <w:rPr>
                <w:b/>
              </w:rPr>
            </w:pPr>
            <w:r>
              <w:rPr>
                <w:b/>
              </w:rPr>
              <w:t>RSUs 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76" w:type="dxa"/>
            <w:tcBorders>
              <w:bottom w:val="single" w:sz="8" w:space="0" w:color="000000"/>
            </w:tcBorders>
            <w:vAlign w:val="center"/>
          </w:tcPr>
          <w:p>
            <w:pPr>
              <w:pStyle w:val="TableContents"/>
              <w:bidi w:val="0"/>
              <w:spacing w:before="0" w:after="283"/>
              <w:jc w:val="center"/>
              <w:rPr>
                <w:b/>
              </w:rPr>
            </w:pPr>
            <w:r>
              <w:rPr>
                <w:b/>
              </w:rPr>
              <w:t>Vesting Terms</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GDFV</w:t>
            </w:r>
            <w:r>
              <w:rPr>
                <w:rFonts w:ascii="Times New Roman;Times;Serif" w:hAnsi="Times New Roman;Times;Serif"/>
                <w:b/>
                <w:position w:val="7"/>
                <w:sz w:val="16"/>
                <w:sz w:val="20"/>
              </w:rPr>
              <w:t>1</w:t>
            </w:r>
          </w:p>
        </w:tc>
        <w:tc>
          <w:tcPr>
            <w:tcW w:w="77"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center"/>
              <w:rPr/>
            </w:pPr>
            <w:r>
              <w:rPr/>
              <w:t>1/1/2026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9" w:type="dxa"/>
            <w:tcBorders/>
            <w:shd w:fill="CCEEFF" w:val="clear"/>
            <w:tcMar>
              <w:bottom w:w="0" w:type="dxa"/>
            </w:tcMar>
            <w:vAlign w:val="center"/>
          </w:tcPr>
          <w:p>
            <w:pPr>
              <w:pStyle w:val="TableContents"/>
              <w:bidi w:val="0"/>
              <w:spacing w:before="0" w:after="283"/>
              <w:jc w:val="center"/>
              <w:rPr/>
            </w:pPr>
            <w:r>
              <w:rPr/>
              <w:t>Third-party consultant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bookmarkStart w:id="953" w:name="xdx_98D_eus-gaap--ShareBasedCompensation"/>
            <w:bookmarkEnd w:id="953"/>
          </w:p>
        </w:tc>
        <w:tc>
          <w:tcPr>
            <w:tcW w:w="1181"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6" w:type="dxa"/>
            <w:tcBorders/>
            <w:shd w:fill="CCEEFF" w:val="clear"/>
            <w:tcMar>
              <w:bottom w:w="0" w:type="dxa"/>
            </w:tcMar>
            <w:vAlign w:val="center"/>
          </w:tcPr>
          <w:p>
            <w:pPr>
              <w:pStyle w:val="TableContents"/>
              <w:bidi w:val="0"/>
              <w:spacing w:before="0" w:after="283"/>
              <w:jc w:val="center"/>
              <w:rPr/>
            </w:pPr>
            <w:bookmarkStart w:id="954" w:name="xdx_903_eus-gaap--ShareBasedCompensation"/>
            <w:bookmarkEnd w:id="954"/>
            <w:r>
              <w:rPr/>
              <w:t>25,000 immediately; remainder monthly over 36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955" w:name="xdx_98B_eus-gaap--StockIssuedDuringPerio"/>
            <w:bookmarkEnd w:id="955"/>
          </w:p>
        </w:tc>
        <w:tc>
          <w:tcPr>
            <w:tcW w:w="560" w:type="dxa"/>
            <w:tcBorders/>
            <w:shd w:fill="CCEEFF" w:val="clear"/>
            <w:tcMar>
              <w:bottom w:w="0" w:type="dxa"/>
            </w:tcMar>
            <w:vAlign w:val="center"/>
          </w:tcPr>
          <w:p>
            <w:pPr>
              <w:pStyle w:val="TableContents"/>
              <w:bidi w:val="0"/>
              <w:spacing w:before="0" w:after="283"/>
              <w:jc w:val="right"/>
              <w:rPr/>
            </w:pPr>
            <w:r>
              <w:rPr/>
              <w:t>758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890" w:type="dxa"/>
            <w:tcBorders/>
            <w:shd w:fill="FFFFFF" w:val="clear"/>
            <w:tcMar>
              <w:bottom w:w="0" w:type="dxa"/>
            </w:tcMar>
            <w:vAlign w:val="center"/>
          </w:tcPr>
          <w:p>
            <w:pPr>
              <w:pStyle w:val="TableContents"/>
              <w:bidi w:val="0"/>
              <w:spacing w:before="0" w:after="283"/>
              <w:jc w:val="center"/>
              <w:rPr/>
            </w:pPr>
            <w:r>
              <w:rPr/>
              <w:t>1/8/2026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9" w:type="dxa"/>
            <w:tcBorders/>
            <w:shd w:fill="FFFFFF" w:val="clear"/>
            <w:tcMar>
              <w:bottom w:w="0" w:type="dxa"/>
            </w:tcMar>
            <w:vAlign w:val="center"/>
          </w:tcPr>
          <w:p>
            <w:pPr>
              <w:pStyle w:val="TableContents"/>
              <w:bidi w:val="0"/>
              <w:spacing w:before="0" w:after="283"/>
              <w:jc w:val="center"/>
              <w:rPr/>
            </w:pPr>
            <w:r>
              <w:rPr/>
              <w:t>Interim Executive Chairman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bookmarkStart w:id="956" w:name="xdx_989_eus-gaap--ShareBasedCompensation"/>
            <w:bookmarkEnd w:id="956"/>
          </w:p>
        </w:tc>
        <w:tc>
          <w:tcPr>
            <w:tcW w:w="1181"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76" w:type="dxa"/>
            <w:tcBorders/>
            <w:shd w:fill="FFFFFF" w:val="clear"/>
            <w:tcMar>
              <w:bottom w:w="0" w:type="dxa"/>
            </w:tcMar>
            <w:vAlign w:val="center"/>
          </w:tcPr>
          <w:p>
            <w:pPr>
              <w:pStyle w:val="TableContents"/>
              <w:bidi w:val="0"/>
              <w:spacing w:before="0" w:after="283"/>
              <w:jc w:val="center"/>
              <w:rPr/>
            </w:pPr>
            <w:bookmarkStart w:id="957" w:name="xdx_90C_eus-gaap--ShareBasedCompensation"/>
            <w:bookmarkEnd w:id="957"/>
            <w:r>
              <w:rPr/>
              <w:t>4 equal quarterly installments over 1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58" w:name="xdx_987_eus-gaap--StockIssuedDuringPerio"/>
            <w:bookmarkEnd w:id="958"/>
          </w:p>
        </w:tc>
        <w:tc>
          <w:tcPr>
            <w:tcW w:w="560" w:type="dxa"/>
            <w:tcBorders/>
            <w:shd w:fill="FFFFFF" w:val="clear"/>
            <w:tcMar>
              <w:bottom w:w="0" w:type="dxa"/>
            </w:tcMar>
            <w:vAlign w:val="center"/>
          </w:tcPr>
          <w:p>
            <w:pPr>
              <w:pStyle w:val="TableContents"/>
              <w:bidi w:val="0"/>
              <w:spacing w:before="0" w:after="283"/>
              <w:jc w:val="right"/>
              <w:rPr/>
            </w:pPr>
            <w:r>
              <w:rPr/>
              <w:t>321</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center"/>
              <w:rPr/>
            </w:pPr>
            <w:r>
              <w:rPr/>
              <w:t>1/8/2026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9" w:type="dxa"/>
            <w:tcBorders/>
            <w:shd w:fill="CCEEFF" w:val="clear"/>
            <w:tcMar>
              <w:bottom w:w="0" w:type="dxa"/>
            </w:tcMar>
            <w:vAlign w:val="center"/>
          </w:tcPr>
          <w:p>
            <w:pPr>
              <w:pStyle w:val="TableContents"/>
              <w:bidi w:val="0"/>
              <w:spacing w:before="0" w:after="283"/>
              <w:jc w:val="center"/>
              <w:rPr/>
            </w:pPr>
            <w:r>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bookmarkStart w:id="959" w:name="xdx_989_eus-gaap--ShareBasedCompensation"/>
            <w:bookmarkEnd w:id="959"/>
          </w:p>
        </w:tc>
        <w:tc>
          <w:tcPr>
            <w:tcW w:w="1181" w:type="dxa"/>
            <w:tcBorders/>
            <w:shd w:fill="CCEEFF" w:val="clear"/>
            <w:tcMar>
              <w:bottom w:w="0" w:type="dxa"/>
            </w:tcMar>
            <w:vAlign w:val="center"/>
          </w:tcPr>
          <w:p>
            <w:pPr>
              <w:pStyle w:val="TableContents"/>
              <w:bidi w:val="0"/>
              <w:spacing w:before="0" w:after="283"/>
              <w:jc w:val="righ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6" w:type="dxa"/>
            <w:tcBorders/>
            <w:shd w:fill="CCEEFF" w:val="clear"/>
            <w:tcMar>
              <w:bottom w:w="0" w:type="dxa"/>
            </w:tcMar>
            <w:vAlign w:val="center"/>
          </w:tcPr>
          <w:p>
            <w:pPr>
              <w:pStyle w:val="TableContents"/>
              <w:bidi w:val="0"/>
              <w:spacing w:before="0" w:after="283"/>
              <w:jc w:val="center"/>
              <w:rPr/>
            </w:pPr>
            <w:bookmarkStart w:id="960" w:name="xdx_906_eus-gaap--ShareBasedCompensation"/>
            <w:bookmarkEnd w:id="960"/>
            <w:r>
              <w:rPr/>
              <w:t>100,000 on May 15, 2026; 900,000 in 16 quarterly installments over 4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61" w:name="xdx_98C_eus-gaap--StockIssuedDuringPerio"/>
            <w:bookmarkEnd w:id="961"/>
          </w:p>
        </w:tc>
        <w:tc>
          <w:tcPr>
            <w:tcW w:w="560" w:type="dxa"/>
            <w:tcBorders/>
            <w:shd w:fill="CCEEFF" w:val="clear"/>
            <w:tcMar>
              <w:bottom w:w="0" w:type="dxa"/>
            </w:tcMar>
            <w:vAlign w:val="center"/>
          </w:tcPr>
          <w:p>
            <w:pPr>
              <w:pStyle w:val="TableContents"/>
              <w:bidi w:val="0"/>
              <w:spacing w:before="0" w:after="283"/>
              <w:jc w:val="right"/>
              <w:rPr/>
            </w:pPr>
            <w:r>
              <w:rPr/>
              <w:t>3,210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890" w:type="dxa"/>
            <w:tcBorders/>
            <w:shd w:fill="FFFFFF" w:val="clear"/>
            <w:tcMar>
              <w:bottom w:w="0" w:type="dxa"/>
            </w:tcMar>
            <w:vAlign w:val="center"/>
          </w:tcPr>
          <w:p>
            <w:pPr>
              <w:pStyle w:val="TableContents"/>
              <w:bidi w:val="0"/>
              <w:spacing w:before="0" w:after="283"/>
              <w:jc w:val="center"/>
              <w:rPr/>
            </w:pPr>
            <w:r>
              <w:rPr/>
              <w:t>1/27/2026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9" w:type="dxa"/>
            <w:tcBorders/>
            <w:shd w:fill="FFFFFF" w:val="clear"/>
            <w:tcMar>
              <w:bottom w:w="0" w:type="dxa"/>
            </w:tcMar>
            <w:vAlign w:val="center"/>
          </w:tcPr>
          <w:p>
            <w:pPr>
              <w:pStyle w:val="TableContents"/>
              <w:bidi w:val="0"/>
              <w:spacing w:before="0" w:after="283"/>
              <w:jc w:val="center"/>
              <w:rPr/>
            </w:pPr>
            <w:r>
              <w:rPr/>
              <w:t>Third-party consultant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bookmarkStart w:id="962" w:name="xdx_989_eus-gaap--ShareBasedCompensation"/>
            <w:bookmarkEnd w:id="962"/>
          </w:p>
        </w:tc>
        <w:tc>
          <w:tcPr>
            <w:tcW w:w="1181" w:type="dxa"/>
            <w:tcBorders/>
            <w:shd w:fill="FFFFFF" w:val="clear"/>
            <w:tcMar>
              <w:bottom w:w="0" w:type="dxa"/>
            </w:tcMar>
            <w:vAlign w:val="center"/>
          </w:tcPr>
          <w:p>
            <w:pPr>
              <w:pStyle w:val="TableContents"/>
              <w:bidi w:val="0"/>
              <w:spacing w:before="0" w:after="283"/>
              <w:jc w:val="right"/>
              <w:rPr/>
            </w:pPr>
            <w:r>
              <w:rPr/>
              <w:t>125,000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76" w:type="dxa"/>
            <w:tcBorders/>
            <w:shd w:fill="FFFFFF" w:val="clear"/>
            <w:tcMar>
              <w:bottom w:w="0" w:type="dxa"/>
            </w:tcMar>
            <w:vAlign w:val="center"/>
          </w:tcPr>
          <w:p>
            <w:pPr>
              <w:pStyle w:val="TableContents"/>
              <w:bidi w:val="0"/>
              <w:spacing w:before="0" w:after="283"/>
              <w:jc w:val="center"/>
              <w:rPr/>
            </w:pPr>
            <w:bookmarkStart w:id="963" w:name="xdx_90F_eus-gaap--ShareBasedCompensation"/>
            <w:bookmarkEnd w:id="963"/>
            <w:r>
              <w:rPr/>
              <w:t>16 quarterly installments over 4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64" w:name="xdx_982_eus-gaap--StockIssuedDuringPerio"/>
            <w:bookmarkEnd w:id="964"/>
          </w:p>
        </w:tc>
        <w:tc>
          <w:tcPr>
            <w:tcW w:w="560" w:type="dxa"/>
            <w:tcBorders/>
            <w:shd w:fill="FFFFFF" w:val="clear"/>
            <w:tcMar>
              <w:bottom w:w="0" w:type="dxa"/>
            </w:tcMar>
            <w:vAlign w:val="center"/>
          </w:tcPr>
          <w:p>
            <w:pPr>
              <w:pStyle w:val="TableContents"/>
              <w:bidi w:val="0"/>
              <w:spacing w:before="0" w:after="283"/>
              <w:jc w:val="right"/>
              <w:rPr/>
            </w:pPr>
            <w:r>
              <w:rPr/>
              <w:t>456</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center"/>
              <w:rPr/>
            </w:pPr>
            <w:r>
              <w:rPr/>
              <w:t>3/3/2026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9" w:type="dxa"/>
            <w:tcBorders/>
            <w:shd w:fill="CCEEFF" w:val="clear"/>
            <w:tcMar>
              <w:bottom w:w="0" w:type="dxa"/>
            </w:tcMar>
            <w:vAlign w:val="center"/>
          </w:tcPr>
          <w:p>
            <w:pPr>
              <w:pStyle w:val="TableContents"/>
              <w:bidi w:val="0"/>
              <w:spacing w:before="0" w:after="283"/>
              <w:jc w:val="center"/>
              <w:rPr/>
            </w:pPr>
            <w:r>
              <w:rPr/>
              <w:t>Third-party consultant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bookmarkStart w:id="965" w:name="xdx_980_eus-gaap--ShareBasedCompensation"/>
            <w:bookmarkEnd w:id="965"/>
          </w:p>
        </w:tc>
        <w:tc>
          <w:tcPr>
            <w:tcW w:w="1181" w:type="dxa"/>
            <w:tcBorders/>
            <w:shd w:fill="CCEEFF" w:val="clear"/>
            <w:tcMar>
              <w:bottom w:w="0" w:type="dxa"/>
            </w:tcMar>
            <w:vAlign w:val="center"/>
          </w:tcPr>
          <w:p>
            <w:pPr>
              <w:pStyle w:val="TableContents"/>
              <w:bidi w:val="0"/>
              <w:spacing w:before="0" w:after="283"/>
              <w:jc w:val="right"/>
              <w:rPr/>
            </w:pPr>
            <w:r>
              <w:rPr/>
              <w:t>425,000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6" w:type="dxa"/>
            <w:tcBorders/>
            <w:shd w:fill="CCEEFF" w:val="clear"/>
            <w:tcMar>
              <w:bottom w:w="0" w:type="dxa"/>
            </w:tcMar>
            <w:vAlign w:val="center"/>
          </w:tcPr>
          <w:p>
            <w:pPr>
              <w:pStyle w:val="TableContents"/>
              <w:bidi w:val="0"/>
              <w:spacing w:before="0" w:after="283"/>
              <w:jc w:val="center"/>
              <w:rPr/>
            </w:pPr>
            <w:bookmarkStart w:id="966" w:name="xdx_901_eus-gaap--ShareBasedCompensation"/>
            <w:bookmarkEnd w:id="966"/>
            <w:r>
              <w:rPr/>
              <w:t>212,500 immediately; 125,000 on Jun 3, 2026; 87,500 on Sep 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67" w:name="xdx_984_eus-gaap--StockIssuedDuringPerio"/>
            <w:bookmarkEnd w:id="967"/>
          </w:p>
        </w:tc>
        <w:tc>
          <w:tcPr>
            <w:tcW w:w="560" w:type="dxa"/>
            <w:tcBorders/>
            <w:shd w:fill="CCEEFF" w:val="clear"/>
            <w:tcMar>
              <w:bottom w:w="0" w:type="dxa"/>
            </w:tcMar>
            <w:vAlign w:val="center"/>
          </w:tcPr>
          <w:p>
            <w:pPr>
              <w:pStyle w:val="TableContents"/>
              <w:bidi w:val="0"/>
              <w:spacing w:before="0" w:after="283"/>
              <w:jc w:val="right"/>
              <w:rPr/>
            </w:pPr>
            <w:r>
              <w:rPr/>
              <w:t>876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890" w:type="dxa"/>
            <w:tcBorders/>
            <w:shd w:fill="FFFFFF" w:val="clear"/>
            <w:tcMar>
              <w:bottom w:w="0" w:type="dxa"/>
            </w:tcMar>
            <w:vAlign w:val="center"/>
          </w:tcPr>
          <w:p>
            <w:pPr>
              <w:pStyle w:val="TableContents"/>
              <w:bidi w:val="0"/>
              <w:spacing w:before="0" w:after="283"/>
              <w:jc w:val="center"/>
              <w:rPr/>
            </w:pPr>
            <w:r>
              <w:rPr/>
              <w:t>3/16/2026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9" w:type="dxa"/>
            <w:tcBorders/>
            <w:shd w:fill="FFFFFF" w:val="clear"/>
            <w:tcMar>
              <w:bottom w:w="0" w:type="dxa"/>
            </w:tcMar>
            <w:vAlign w:val="center"/>
          </w:tcPr>
          <w:p>
            <w:pPr>
              <w:pStyle w:val="TableContents"/>
              <w:bidi w:val="0"/>
              <w:spacing w:before="0" w:after="283"/>
              <w:jc w:val="center"/>
              <w:rPr/>
            </w:pPr>
            <w:r>
              <w:rPr/>
              <w:t>Third-party consultant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bookmarkStart w:id="968" w:name="xdx_98C_eus-gaap--ShareBasedCompensation"/>
            <w:bookmarkEnd w:id="968"/>
          </w:p>
        </w:tc>
        <w:tc>
          <w:tcPr>
            <w:tcW w:w="1181" w:type="dxa"/>
            <w:tcBorders/>
            <w:shd w:fill="FFFFFF" w:val="clear"/>
            <w:tcMar>
              <w:bottom w:w="0" w:type="dxa"/>
            </w:tcMar>
            <w:vAlign w:val="center"/>
          </w:tcPr>
          <w:p>
            <w:pPr>
              <w:pStyle w:val="TableContents"/>
              <w:bidi w:val="0"/>
              <w:spacing w:before="0" w:after="283"/>
              <w:jc w:val="right"/>
              <w:rPr/>
            </w:pPr>
            <w:r>
              <w:rPr/>
              <w:t>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76" w:type="dxa"/>
            <w:tcBorders/>
            <w:shd w:fill="FFFFFF" w:val="clear"/>
            <w:tcMar>
              <w:bottom w:w="0" w:type="dxa"/>
            </w:tcMar>
            <w:vAlign w:val="center"/>
          </w:tcPr>
          <w:p>
            <w:pPr>
              <w:pStyle w:val="TableContents"/>
              <w:bidi w:val="0"/>
              <w:spacing w:before="0" w:after="283"/>
              <w:jc w:val="center"/>
              <w:rPr/>
            </w:pPr>
            <w:bookmarkStart w:id="969" w:name="xdx_903_eus-gaap--ShareBasedCompensation"/>
            <w:bookmarkEnd w:id="969"/>
            <w:r>
              <w:rPr/>
              <w:t>5,000 immediately; remainder monthly over 1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70" w:name="xdx_980_eus-gaap--StockIssuedDuringPerio"/>
            <w:bookmarkEnd w:id="970"/>
          </w:p>
        </w:tc>
        <w:tc>
          <w:tcPr>
            <w:tcW w:w="560" w:type="dxa"/>
            <w:tcBorders/>
            <w:shd w:fill="FFFFFF" w:val="clear"/>
            <w:tcMar>
              <w:bottom w:w="0" w:type="dxa"/>
            </w:tcMar>
            <w:vAlign w:val="center"/>
          </w:tcPr>
          <w:p>
            <w:pPr>
              <w:pStyle w:val="TableContents"/>
              <w:bidi w:val="0"/>
              <w:spacing w:before="0" w:after="283"/>
              <w:jc w:val="right"/>
              <w:rPr/>
            </w:pPr>
            <w:r>
              <w:rPr/>
              <w:t>119</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center"/>
              <w:rPr/>
            </w:pPr>
            <w:r>
              <w:rPr/>
              <w:t>3/16/2026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9" w:type="dxa"/>
            <w:tcBorders/>
            <w:shd w:fill="CCEEFF" w:val="clear"/>
            <w:tcMar>
              <w:bottom w:w="0" w:type="dxa"/>
            </w:tcMar>
            <w:vAlign w:val="center"/>
          </w:tcPr>
          <w:p>
            <w:pPr>
              <w:pStyle w:val="TableContents"/>
              <w:bidi w:val="0"/>
              <w:spacing w:before="0" w:after="283"/>
              <w:jc w:val="center"/>
              <w:rPr/>
            </w:pPr>
            <w:r>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bookmarkStart w:id="971" w:name="xdx_98E_eus-gaap--ShareBasedCompensation"/>
            <w:bookmarkEnd w:id="971"/>
          </w:p>
        </w:tc>
        <w:tc>
          <w:tcPr>
            <w:tcW w:w="1181"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6" w:type="dxa"/>
            <w:tcBorders/>
            <w:shd w:fill="CCEEFF" w:val="clear"/>
            <w:tcMar>
              <w:bottom w:w="0" w:type="dxa"/>
            </w:tcMar>
            <w:vAlign w:val="center"/>
          </w:tcPr>
          <w:p>
            <w:pPr>
              <w:pStyle w:val="TableContents"/>
              <w:bidi w:val="0"/>
              <w:spacing w:before="0" w:after="283"/>
              <w:jc w:val="center"/>
              <w:rPr/>
            </w:pPr>
            <w:bookmarkStart w:id="972" w:name="xdx_90C_eus-gaap--ShareBasedCompensation"/>
            <w:bookmarkEnd w:id="972"/>
            <w:r>
              <w:rPr/>
              <w:t>16 quarterly installments over 4 years commencing April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73" w:name="xdx_980_eus-gaap--StockIssuedDuringPerio"/>
            <w:bookmarkEnd w:id="973"/>
          </w:p>
        </w:tc>
        <w:tc>
          <w:tcPr>
            <w:tcW w:w="560" w:type="dxa"/>
            <w:tcBorders/>
            <w:shd w:fill="CCEEFF" w:val="clear"/>
            <w:tcMar>
              <w:bottom w:w="0" w:type="dxa"/>
            </w:tcMar>
            <w:vAlign w:val="center"/>
          </w:tcPr>
          <w:p>
            <w:pPr>
              <w:pStyle w:val="TableContents"/>
              <w:bidi w:val="0"/>
              <w:spacing w:before="0" w:after="283"/>
              <w:jc w:val="right"/>
              <w:rPr/>
            </w:pPr>
            <w:r>
              <w:rPr/>
              <w:t>915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890" w:type="dxa"/>
            <w:tcBorders/>
            <w:shd w:fill="FFFFFF" w:val="clear"/>
            <w:tcMar>
              <w:bottom w:w="0" w:type="dxa"/>
            </w:tcMar>
            <w:vAlign w:val="center"/>
          </w:tcPr>
          <w:p>
            <w:pPr>
              <w:pStyle w:val="TableContents"/>
              <w:bidi w:val="0"/>
              <w:spacing w:before="0" w:after="283"/>
              <w:jc w:val="center"/>
              <w:rPr/>
            </w:pPr>
            <w:r>
              <w:rPr/>
              <w:t>4/27/2026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9" w:type="dxa"/>
            <w:tcBorders/>
            <w:shd w:fill="FFFFFF" w:val="clear"/>
            <w:tcMar>
              <w:bottom w:w="0" w:type="dxa"/>
            </w:tcMar>
            <w:vAlign w:val="center"/>
          </w:tcPr>
          <w:p>
            <w:pPr>
              <w:pStyle w:val="TableContents"/>
              <w:bidi w:val="0"/>
              <w:spacing w:before="0" w:after="283"/>
              <w:jc w:val="center"/>
              <w:rPr/>
            </w:pPr>
            <w:r>
              <w:rPr/>
              <w:t>Employee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bookmarkStart w:id="974" w:name="xdx_989_eus-gaap--ShareBasedCompensation"/>
            <w:bookmarkEnd w:id="974"/>
          </w:p>
        </w:tc>
        <w:tc>
          <w:tcPr>
            <w:tcW w:w="1181" w:type="dxa"/>
            <w:tcBorders/>
            <w:shd w:fill="FFFFFF" w:val="clear"/>
            <w:tcMar>
              <w:bottom w:w="0" w:type="dxa"/>
            </w:tcMar>
            <w:vAlign w:val="center"/>
          </w:tcPr>
          <w:p>
            <w:pPr>
              <w:pStyle w:val="TableContents"/>
              <w:bidi w:val="0"/>
              <w:spacing w:before="0" w:after="283"/>
              <w:jc w:val="right"/>
              <w:rPr/>
            </w:pPr>
            <w:r>
              <w:rPr/>
              <w:t>175,000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76" w:type="dxa"/>
            <w:tcBorders/>
            <w:shd w:fill="FFFFFF" w:val="clear"/>
            <w:tcMar>
              <w:bottom w:w="0" w:type="dxa"/>
            </w:tcMar>
            <w:vAlign w:val="center"/>
          </w:tcPr>
          <w:p>
            <w:pPr>
              <w:pStyle w:val="TableContents"/>
              <w:bidi w:val="0"/>
              <w:spacing w:before="0" w:after="283"/>
              <w:jc w:val="center"/>
              <w:rPr/>
            </w:pPr>
            <w:bookmarkStart w:id="975" w:name="xdx_905_eus-gaap--ShareBasedCompensation"/>
            <w:bookmarkEnd w:id="975"/>
            <w:r>
              <w:rPr/>
              <w:t>16 quarterly installments over 4 years commencing July 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76" w:name="xdx_98C_eus-gaap--StockIssuedDuringPerio"/>
            <w:bookmarkEnd w:id="976"/>
          </w:p>
        </w:tc>
        <w:tc>
          <w:tcPr>
            <w:tcW w:w="560" w:type="dxa"/>
            <w:tcBorders/>
            <w:shd w:fill="FFFFFF" w:val="clear"/>
            <w:tcMar>
              <w:bottom w:w="0" w:type="dxa"/>
            </w:tcMar>
            <w:vAlign w:val="center"/>
          </w:tcPr>
          <w:p>
            <w:pPr>
              <w:pStyle w:val="TableContents"/>
              <w:bidi w:val="0"/>
              <w:spacing w:before="0" w:after="283"/>
              <w:jc w:val="right"/>
              <w:rPr/>
            </w:pPr>
            <w:r>
              <w:rPr/>
              <w:t>174</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center"/>
              <w:rPr/>
            </w:pPr>
            <w:r>
              <w:rPr/>
              <w:t>4/27/2026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9" w:type="dxa"/>
            <w:tcBorders/>
            <w:shd w:fill="CCEEFF" w:val="clear"/>
            <w:tcMar>
              <w:bottom w:w="0" w:type="dxa"/>
            </w:tcMar>
            <w:vAlign w:val="center"/>
          </w:tcPr>
          <w:p>
            <w:pPr>
              <w:pStyle w:val="TableContents"/>
              <w:bidi w:val="0"/>
              <w:spacing w:before="0" w:after="283"/>
              <w:jc w:val="center"/>
              <w:rPr/>
            </w:pPr>
            <w:r>
              <w:rPr/>
              <w:t>Third-party consultant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bookmarkStart w:id="977" w:name="xdx_98C_eus-gaap--ShareBasedCompensation"/>
            <w:bookmarkEnd w:id="977"/>
          </w:p>
        </w:tc>
        <w:tc>
          <w:tcPr>
            <w:tcW w:w="1181" w:type="dxa"/>
            <w:tcBorders/>
            <w:shd w:fill="CCEEFF" w:val="clear"/>
            <w:tcMar>
              <w:bottom w:w="0" w:type="dxa"/>
            </w:tcMar>
            <w:vAlign w:val="center"/>
          </w:tcPr>
          <w:p>
            <w:pPr>
              <w:pStyle w:val="TableContents"/>
              <w:bidi w:val="0"/>
              <w:spacing w:before="0" w:after="283"/>
              <w:jc w:val="right"/>
              <w:rPr/>
            </w:pPr>
            <w:r>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6" w:type="dxa"/>
            <w:tcBorders/>
            <w:shd w:fill="CCEEFF" w:val="clear"/>
            <w:tcMar>
              <w:bottom w:w="0" w:type="dxa"/>
            </w:tcMar>
            <w:vAlign w:val="center"/>
          </w:tcPr>
          <w:p>
            <w:pPr>
              <w:pStyle w:val="TableContents"/>
              <w:bidi w:val="0"/>
              <w:spacing w:before="0" w:after="283"/>
              <w:jc w:val="center"/>
              <w:rPr/>
            </w:pPr>
            <w:bookmarkStart w:id="978" w:name="xdx_90E_eus-gaap--ShareBasedCompensation"/>
            <w:bookmarkEnd w:id="978"/>
            <w:r>
              <w:rPr/>
              <w:t>4 equal quarterly installments over 1 year commencing July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79" w:name="xdx_98F_eus-gaap--StockIssuedDuringPerio"/>
            <w:bookmarkEnd w:id="979"/>
          </w:p>
        </w:tc>
        <w:tc>
          <w:tcPr>
            <w:tcW w:w="560" w:type="dxa"/>
            <w:tcBorders/>
            <w:shd w:fill="CCEEFF" w:val="clear"/>
            <w:tcMar>
              <w:bottom w:w="0" w:type="dxa"/>
            </w:tcMar>
            <w:vAlign w:val="center"/>
          </w:tcPr>
          <w:p>
            <w:pPr>
              <w:pStyle w:val="TableContents"/>
              <w:bidi w:val="0"/>
              <w:spacing w:before="0" w:after="283"/>
              <w:jc w:val="right"/>
              <w:rPr/>
            </w:pPr>
            <w:r>
              <w:rPr/>
              <w:t>100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890" w:type="dxa"/>
            <w:tcBorders/>
            <w:shd w:fill="FFFFFF" w:val="clear"/>
            <w:tcMar>
              <w:bottom w:w="0" w:type="dxa"/>
            </w:tcMar>
            <w:vAlign w:val="center"/>
          </w:tcPr>
          <w:p>
            <w:pPr>
              <w:pStyle w:val="TableContents"/>
              <w:bidi w:val="0"/>
              <w:spacing w:before="0" w:after="283"/>
              <w:jc w:val="center"/>
              <w:rPr/>
            </w:pPr>
            <w:r>
              <w:rPr/>
              <w:t>4/27/2026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9" w:type="dxa"/>
            <w:tcBorders/>
            <w:shd w:fill="FFFFFF" w:val="clear"/>
            <w:tcMar>
              <w:bottom w:w="0" w:type="dxa"/>
            </w:tcMar>
            <w:vAlign w:val="center"/>
          </w:tcPr>
          <w:p>
            <w:pPr>
              <w:pStyle w:val="TableContents"/>
              <w:bidi w:val="0"/>
              <w:spacing w:before="0" w:after="283"/>
              <w:jc w:val="center"/>
              <w:rPr/>
            </w:pPr>
            <w:r>
              <w:rPr/>
              <w:t>Third-party consultant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bookmarkStart w:id="980" w:name="xdx_987_eus-gaap--ShareBasedCompensation"/>
            <w:bookmarkEnd w:id="980"/>
          </w:p>
        </w:tc>
        <w:tc>
          <w:tcPr>
            <w:tcW w:w="1181"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76" w:type="dxa"/>
            <w:tcBorders/>
            <w:shd w:fill="FFFFFF" w:val="clear"/>
            <w:tcMar>
              <w:bottom w:w="0" w:type="dxa"/>
            </w:tcMar>
            <w:vAlign w:val="center"/>
          </w:tcPr>
          <w:p>
            <w:pPr>
              <w:pStyle w:val="TableContents"/>
              <w:bidi w:val="0"/>
              <w:spacing w:before="0" w:after="283"/>
              <w:jc w:val="center"/>
              <w:rPr/>
            </w:pPr>
            <w:bookmarkStart w:id="981" w:name="xdx_90F_eus-gaap--ShareBasedCompensation"/>
            <w:bookmarkEnd w:id="981"/>
            <w:r>
              <w:rPr/>
              <w:t>50,000 immediately; 25,000 on Oct 27, 2026; 25,000 on Apr 27,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982" w:name="xdx_986_eus-gaap--StockIssuedDuringPerio"/>
            <w:bookmarkEnd w:id="982"/>
          </w:p>
        </w:tc>
        <w:tc>
          <w:tcPr>
            <w:tcW w:w="560" w:type="dxa"/>
            <w:tcBorders/>
            <w:shd w:fill="FFFFFF" w:val="clear"/>
            <w:tcMar>
              <w:bottom w:w="0" w:type="dxa"/>
            </w:tcMar>
            <w:vAlign w:val="center"/>
          </w:tcPr>
          <w:p>
            <w:pPr>
              <w:pStyle w:val="TableContents"/>
              <w:bidi w:val="0"/>
              <w:spacing w:before="0" w:after="283"/>
              <w:jc w:val="right"/>
              <w:rPr/>
            </w:pPr>
            <w:r>
              <w:rPr/>
              <w:t>100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center"/>
              <w:rPr/>
            </w:pPr>
            <w:r>
              <w:rPr/>
              <w:t>4/28/2026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9" w:type="dxa"/>
            <w:tcBorders/>
            <w:shd w:fill="CCEEFF" w:val="clear"/>
            <w:tcMar>
              <w:bottom w:w="0" w:type="dxa"/>
            </w:tcMar>
            <w:vAlign w:val="center"/>
          </w:tcPr>
          <w:p>
            <w:pPr>
              <w:pStyle w:val="TableContents"/>
              <w:bidi w:val="0"/>
              <w:spacing w:before="0" w:after="283"/>
              <w:jc w:val="center"/>
              <w:rPr/>
            </w:pPr>
            <w:r>
              <w:rPr/>
              <w:t>Chief Investment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bookmarkStart w:id="983" w:name="xdx_98B_eus-gaap--ShareBasedCompensation"/>
            <w:bookmarkEnd w:id="983"/>
          </w:p>
        </w:tc>
        <w:tc>
          <w:tcPr>
            <w:tcW w:w="1181" w:type="dxa"/>
            <w:tcBorders/>
            <w:shd w:fill="CCEEFF" w:val="clear"/>
            <w:tcMar>
              <w:bottom w:w="0" w:type="dxa"/>
            </w:tcMar>
            <w:vAlign w:val="center"/>
          </w:tcPr>
          <w:p>
            <w:pPr>
              <w:pStyle w:val="TableContents"/>
              <w:bidi w:val="0"/>
              <w:spacing w:before="0" w:after="283"/>
              <w:jc w:val="right"/>
              <w:rPr/>
            </w:pPr>
            <w:r>
              <w:rPr/>
              <w:t>2,250,000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6" w:type="dxa"/>
            <w:tcBorders/>
            <w:shd w:fill="CCEEFF" w:val="clear"/>
            <w:tcMar>
              <w:bottom w:w="0" w:type="dxa"/>
            </w:tcMar>
            <w:vAlign w:val="center"/>
          </w:tcPr>
          <w:p>
            <w:pPr>
              <w:pStyle w:val="TableContents"/>
              <w:bidi w:val="0"/>
              <w:spacing w:before="0" w:after="283"/>
              <w:jc w:val="center"/>
              <w:rPr/>
            </w:pPr>
            <w:bookmarkStart w:id="984" w:name="xdx_905_eus-gaap--ShareBasedCompensation"/>
            <w:bookmarkEnd w:id="984"/>
            <w:r>
              <w:rPr/>
              <w:t>1,250,000 in 16 quarterly installments over 4 years; 1,000,000 in specified tranches (Apr 2026–Nov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985" w:name="xdx_989_eus-gaap--StockIssuedDuringPerio"/>
            <w:bookmarkEnd w:id="985"/>
          </w:p>
        </w:tc>
        <w:tc>
          <w:tcPr>
            <w:tcW w:w="560" w:type="dxa"/>
            <w:tcBorders/>
            <w:shd w:fill="CCEEFF" w:val="clear"/>
            <w:tcMar>
              <w:bottom w:w="0" w:type="dxa"/>
            </w:tcMar>
            <w:vAlign w:val="center"/>
          </w:tcPr>
          <w:p>
            <w:pPr>
              <w:pStyle w:val="TableContents"/>
              <w:bidi w:val="0"/>
              <w:spacing w:before="0" w:after="283"/>
              <w:jc w:val="right"/>
              <w:rPr/>
            </w:pPr>
            <w:r>
              <w:rPr/>
              <w:t>2,012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890" w:type="dxa"/>
            <w:tcBorders/>
            <w:shd w:fill="FFFFFF" w:val="clear"/>
            <w:tcMar>
              <w:bottom w:w="0" w:type="dxa"/>
            </w:tcMar>
            <w:vAlign w:val="center"/>
          </w:tcPr>
          <w:p>
            <w:pPr>
              <w:pStyle w:val="TableContents"/>
              <w:bidi w:val="0"/>
              <w:spacing w:before="0" w:after="283"/>
              <w:jc w:val="center"/>
              <w:rPr/>
            </w:pPr>
            <w:r>
              <w:rPr/>
              <w:t>5/25/2026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9" w:type="dxa"/>
            <w:tcBorders/>
            <w:shd w:fill="FFFFFF" w:val="clear"/>
            <w:tcMar>
              <w:bottom w:w="0" w:type="dxa"/>
            </w:tcMar>
            <w:vAlign w:val="center"/>
          </w:tcPr>
          <w:p>
            <w:pPr>
              <w:pStyle w:val="TableContents"/>
              <w:bidi w:val="0"/>
              <w:spacing w:before="0" w:after="283"/>
              <w:jc w:val="center"/>
              <w:rPr/>
            </w:pPr>
            <w:r>
              <w:rPr/>
              <w:t>Employee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bottom w:val="single" w:sz="8" w:space="0" w:color="000000"/>
            </w:tcBorders>
            <w:shd w:fill="FFFFFF" w:val="clear"/>
            <w:vAlign w:val="center"/>
          </w:tcPr>
          <w:p>
            <w:pPr>
              <w:pStyle w:val="TableContents"/>
              <w:bidi w:val="0"/>
              <w:spacing w:before="0" w:after="283"/>
              <w:jc w:val="left"/>
              <w:rPr/>
            </w:pPr>
            <w:r>
              <w:rPr/>
              <w:t> </w:t>
            </w:r>
            <w:bookmarkStart w:id="986" w:name="xdx_98F_eus-gaap--ShareBasedCompensation"/>
            <w:bookmarkEnd w:id="986"/>
          </w:p>
        </w:tc>
        <w:tc>
          <w:tcPr>
            <w:tcW w:w="1181" w:type="dxa"/>
            <w:tcBorders>
              <w:bottom w:val="single" w:sz="8" w:space="0" w:color="000000"/>
            </w:tcBorders>
            <w:shd w:fill="FFFFFF" w:val="cle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76" w:type="dxa"/>
            <w:tcBorders/>
            <w:shd w:fill="FFFFFF" w:val="clear"/>
            <w:tcMar>
              <w:bottom w:w="0" w:type="dxa"/>
            </w:tcMar>
            <w:vAlign w:val="center"/>
          </w:tcPr>
          <w:p>
            <w:pPr>
              <w:pStyle w:val="TableContents"/>
              <w:bidi w:val="0"/>
              <w:spacing w:before="0" w:after="283"/>
              <w:jc w:val="center"/>
              <w:rPr/>
            </w:pPr>
            <w:bookmarkStart w:id="987" w:name="xdx_90E_eus-gaap--ShareBasedCompensation"/>
            <w:bookmarkEnd w:id="987"/>
            <w:r>
              <w:rPr/>
              <w:t>125,000 immediately; 375,000 equally over 8 quarters (Oct 2026–Jul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988" w:name="xdx_985_eus-gaap--StockIssuedDuringPerio"/>
            <w:bookmarkEnd w:id="988"/>
          </w:p>
        </w:tc>
        <w:tc>
          <w:tcPr>
            <w:tcW w:w="560" w:type="dxa"/>
            <w:tcBorders>
              <w:bottom w:val="single" w:sz="8" w:space="0" w:color="000000"/>
            </w:tcBorders>
            <w:shd w:fill="FFFFFF" w:val="clear"/>
            <w:vAlign w:val="center"/>
          </w:tcPr>
          <w:p>
            <w:pPr>
              <w:pStyle w:val="TableContents"/>
              <w:bidi w:val="0"/>
              <w:spacing w:before="0" w:after="283"/>
              <w:jc w:val="right"/>
              <w:rPr/>
            </w:pPr>
            <w:r>
              <w:rPr/>
              <w:t>640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9"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bookmarkStart w:id="989" w:name="xdx_984_eus-gaap--ShareBasedCompensation"/>
            <w:bookmarkEnd w:id="989"/>
          </w:p>
        </w:tc>
        <w:tc>
          <w:tcPr>
            <w:tcW w:w="1181" w:type="dxa"/>
            <w:tcBorders/>
            <w:shd w:fill="CCEEFF" w:val="clear"/>
            <w:tcMar>
              <w:bottom w:w="0" w:type="dxa"/>
            </w:tcMar>
            <w:vAlign w:val="center"/>
          </w:tcPr>
          <w:p>
            <w:pPr>
              <w:pStyle w:val="TableContents"/>
              <w:bidi w:val="0"/>
              <w:spacing w:before="0" w:after="283"/>
              <w:jc w:val="right"/>
              <w:rPr/>
            </w:pPr>
            <w:r>
              <w:rPr/>
              <w:t>5,590,000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990" w:name="xdx_98F_eus-gaap--StockIssuedDuringPerio"/>
            <w:bookmarkEnd w:id="990"/>
          </w:p>
        </w:tc>
        <w:tc>
          <w:tcPr>
            <w:tcW w:w="560" w:type="dxa"/>
            <w:tcBorders/>
            <w:shd w:fill="CCEEFF" w:val="clear"/>
            <w:tcMar>
              <w:bottom w:w="0" w:type="dxa"/>
            </w:tcMar>
            <w:vAlign w:val="center"/>
          </w:tcPr>
          <w:p>
            <w:pPr>
              <w:pStyle w:val="TableContents"/>
              <w:bidi w:val="0"/>
              <w:spacing w:before="0" w:after="283"/>
              <w:jc w:val="right"/>
              <w:rPr/>
            </w:pPr>
            <w:r>
              <w:rPr/>
              <w:t>9,680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245"/>
        <w:gridCol w:w="2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91" w:name="xdx_F09_zeYVWfQTxc0g"/>
            <w:bookmarkEnd w:id="991"/>
            <w:r>
              <w:rPr>
                <w:rFonts w:ascii="Times New Roman;Times;Serif" w:hAnsi="Times New Roman;Times;Serif"/>
                <w:b w:val="false"/>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92" w:name="xdx_F1B_zSqjs76kvz5e"/>
            <w:bookmarkEnd w:id="992"/>
            <w:r>
              <w:rPr>
                <w:rFonts w:ascii="Times New Roman;Times;Serif" w:hAnsi="Times New Roman;Times;Serif"/>
                <w:b w:val="false"/>
                <w:i w:val="false"/>
                <w:caps w:val="false"/>
                <w:smallCaps w:val="false"/>
                <w:sz w:val="20"/>
              </w:rPr>
              <w:t>Grant-date fair value (“GDFV”)</w:t>
            </w:r>
          </w:p>
        </w:tc>
      </w:tr>
    </w:tbl>
    <w:p>
      <w:pPr>
        <w:pStyle w:val="TextBody"/>
        <w:bidi w:val="0"/>
        <w:spacing w:before="0" w:after="0"/>
        <w:ind w:left="0" w:right="0" w:hanging="0"/>
        <w:jc w:val="both"/>
        <w:rPr>
          <w:caps w:val="false"/>
          <w:smallCaps w:val="false"/>
        </w:rPr>
      </w:pPr>
      <w:bookmarkStart w:id="993" w:name="xdx_8A7_zjaGVHAU9su8"/>
      <w:bookmarkEnd w:id="99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above includes only RSU grants issued during the six months ended June 30, 2026 that were subject to vesting conditions extending beyond the grant date. During the same period, the Company also granted an aggregate of </w:t>
      </w:r>
      <w:bookmarkStart w:id="994" w:name="xdx_901_eus-gaap--ShareBasedCompensation"/>
      <w:bookmarkEnd w:id="994"/>
      <w:r>
        <w:rPr>
          <w:rFonts w:ascii="Times New Roman;Times;Serif" w:hAnsi="Times New Roman;Times;Serif"/>
          <w:b w:val="false"/>
          <w:i w:val="false"/>
          <w:caps w:val="false"/>
          <w:smallCaps w:val="false"/>
          <w:sz w:val="20"/>
        </w:rPr>
        <w:t xml:space="preserve">6,562,741 RSUs that vested immediately upon grant (or were forfeited/terminated) and are therefore excluded from this table. The total RSUs granted during the six months ended June 30, 2026 were </w:t>
      </w:r>
      <w:bookmarkStart w:id="995" w:name="xdx_90F_eus-gaap--ShareBasedCompensation"/>
      <w:bookmarkEnd w:id="995"/>
      <w:r>
        <w:rPr>
          <w:rFonts w:ascii="Times New Roman;Times;Serif" w:hAnsi="Times New Roman;Times;Serif"/>
          <w:b w:val="false"/>
          <w:i w:val="false"/>
          <w:caps w:val="false"/>
          <w:smallCaps w:val="false"/>
          <w:sz w:val="20"/>
        </w:rPr>
        <w:t>12,152,741, as reflected in the RSU activity table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Performance-Based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granted performance-vesting restricted stock units (“PSUs”) to certain executive officers and nonemployee service providers. The PSUs represent the right to receive shares of the Company’s common stock upon the achievement of specified market or performance conditions and the satisfaction of applicable service requirements, subject to certification by the Company’s Board of Directors or its Compensation Committee (the “Committee”). The PSUs are equity-classified and settle solely in shares of the Company’s common stock. No cash settlement alternative exists.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GLDY Cumulative Sales PSUs (Performance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 2026, the Company granted </w:t>
      </w:r>
      <w:bookmarkStart w:id="996" w:name="xdx_902_eus-gaap--ShareBasedCompensation"/>
      <w:bookmarkStart w:id="997" w:name="xdx_90D_eus-gaap--ShareBasedCompensation"/>
      <w:bookmarkEnd w:id="996"/>
      <w:bookmarkEnd w:id="997"/>
      <w:r>
        <w:rPr>
          <w:rFonts w:ascii="Times New Roman;Times;Serif" w:hAnsi="Times New Roman;Times;Serif"/>
          <w:b w:val="false"/>
          <w:i w:val="false"/>
          <w:caps w:val="false"/>
          <w:smallCaps w:val="false"/>
          <w:sz w:val="20"/>
        </w:rPr>
        <w:t xml:space="preserve">1,500,000 PSUs to each of its Chief Executive Officer and Interim Executive Chairman, for an aggregate of </w:t>
      </w:r>
      <w:bookmarkStart w:id="998" w:name="xdx_907_eus-gaap--StockIssuedDuringPerio"/>
      <w:bookmarkEnd w:id="998"/>
      <w:r>
        <w:rPr>
          <w:rFonts w:ascii="Times New Roman;Times;Serif" w:hAnsi="Times New Roman;Times;Serif"/>
          <w:b w:val="false"/>
          <w:i w:val="false"/>
          <w:caps w:val="false"/>
          <w:smallCaps w:val="false"/>
          <w:sz w:val="20"/>
        </w:rPr>
        <w:t>3,000,000 units, under the Company’s 2023 Long-Term Incentive Plan. Each award vests in five equal tranches upon the Company’s achievement of cumulative GLDY sales milestones of $</w:t>
      </w:r>
      <w:bookmarkStart w:id="999" w:name="xdx_901_eus-gaap--StockIssuedDuringPerio"/>
      <w:bookmarkEnd w:id="999"/>
      <w:r>
        <w:rPr>
          <w:rFonts w:ascii="Times New Roman;Times;Serif" w:hAnsi="Times New Roman;Times;Serif"/>
          <w:b w:val="false"/>
          <w:i w:val="false"/>
          <w:caps w:val="false"/>
          <w:smallCaps w:val="false"/>
          <w:sz w:val="20"/>
        </w:rPr>
        <w:t>250 million, $</w:t>
      </w:r>
      <w:bookmarkStart w:id="1000" w:name="xdx_90A_eus-gaap--StockIssuedDuringPerio"/>
      <w:bookmarkEnd w:id="1000"/>
      <w:r>
        <w:rPr>
          <w:rFonts w:ascii="Times New Roman;Times;Serif" w:hAnsi="Times New Roman;Times;Serif"/>
          <w:b w:val="false"/>
          <w:i w:val="false"/>
          <w:caps w:val="false"/>
          <w:smallCaps w:val="false"/>
          <w:sz w:val="20"/>
        </w:rPr>
        <w:t>500 million, $</w:t>
      </w:r>
      <w:bookmarkStart w:id="1001" w:name="xdx_904_eus-gaap--StockIssuedDuringPerio"/>
      <w:bookmarkEnd w:id="1001"/>
      <w:r>
        <w:rPr>
          <w:rFonts w:ascii="Times New Roman;Times;Serif" w:hAnsi="Times New Roman;Times;Serif"/>
          <w:b w:val="false"/>
          <w:i w:val="false"/>
          <w:caps w:val="false"/>
          <w:smallCaps w:val="false"/>
          <w:sz w:val="20"/>
        </w:rPr>
        <w:t>1 billion, $</w:t>
      </w:r>
      <w:bookmarkStart w:id="1002" w:name="xdx_908_eus-gaap--StockIssuedDuringPerio"/>
      <w:bookmarkEnd w:id="1002"/>
      <w:r>
        <w:rPr>
          <w:rFonts w:ascii="Times New Roman;Times;Serif" w:hAnsi="Times New Roman;Times;Serif"/>
          <w:b w:val="false"/>
          <w:i w:val="false"/>
          <w:caps w:val="false"/>
          <w:smallCaps w:val="false"/>
          <w:sz w:val="20"/>
        </w:rPr>
        <w:t>2 billion, and $</w:t>
      </w:r>
      <w:bookmarkStart w:id="1003" w:name="xdx_907_eus-gaap--StockIssuedDuringPerio"/>
      <w:bookmarkEnd w:id="1003"/>
      <w:r>
        <w:rPr>
          <w:rFonts w:ascii="Times New Roman;Times;Serif" w:hAnsi="Times New Roman;Times;Serif"/>
          <w:b w:val="false"/>
          <w:i w:val="false"/>
          <w:caps w:val="false"/>
          <w:smallCaps w:val="false"/>
          <w:sz w:val="20"/>
        </w:rPr>
        <w:t>3 billion, respectively, in each case subject to the executive’s continuous employment through the applicable vesting date. Any tranche not vested by the tenth anniversary of the grant date is forfeited. These awards replaced time-based restricted stock units previously approved in January 2026 that were cancelled by the Board; no compensation cost had been recognized for the cancelled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GLDY sales is a company-specific operational metric and therefore represents a performance condition. The grant-date fair value was $</w:t>
      </w:r>
      <w:bookmarkStart w:id="1004" w:name="xdx_900_eus-gaap--SharePrice_iI_pid_c202"/>
      <w:bookmarkEnd w:id="1004"/>
      <w:r>
        <w:rPr>
          <w:rFonts w:ascii="Times New Roman;Times;Serif" w:hAnsi="Times New Roman;Times;Serif"/>
          <w:b w:val="false"/>
          <w:i w:val="false"/>
          <w:caps w:val="false"/>
          <w:smallCaps w:val="false"/>
          <w:sz w:val="20"/>
        </w:rPr>
        <w:t>1.18 per unit, based on the closing price of the Company’s common stock on the May 1, 2026 grant date, for an aggregate grant-date fair value of approximately $</w:t>
      </w:r>
      <w:bookmarkStart w:id="1005" w:name="xdx_902_eus-gaap--ShareBasedCompensation"/>
      <w:bookmarkEnd w:id="1005"/>
      <w:r>
        <w:rPr>
          <w:rFonts w:ascii="Times New Roman;Times;Serif" w:hAnsi="Times New Roman;Times;Serif"/>
          <w:b w:val="false"/>
          <w:i w:val="false"/>
          <w:caps w:val="false"/>
          <w:smallCaps w:val="false"/>
          <w:sz w:val="20"/>
        </w:rPr>
        <w:t>3,540.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cost for performance-condition awards is recognized if and when achievement of the applicable performance condition becomes probable under ASC 718-10-25-20, based on the portion of the awards expected to vest and the requisite service rendered. As of June 30, 2026, management concluded that achievement of none of the applicable milestones was probable, and accordingly no stock-based compensation expense was recognized for these awards during the three or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06" w:name="xdx_904_eus-gaap--ShareBasedCompensation"/>
      <w:bookmarkEnd w:id="1006"/>
      <w:r>
        <w:rPr>
          <w:rFonts w:ascii="Times New Roman;Times;Serif" w:hAnsi="Times New Roman;Times;Serif"/>
          <w:b w:val="false"/>
          <w:i w:val="false"/>
          <w:caps w:val="false"/>
          <w:smallCaps w:val="false"/>
          <w:sz w:val="20"/>
        </w:rPr>
        <w:t>The executives’ employment agreements also provide for one-time awards upon the Company achieving market capitalization milestones of $50 billion, $100 billion, and $500 billion, based on a 30-day volume-weighted average price. These awards had not reached a grant date as of June 30, 2026, and no compensation cost has been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Price-Based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an aggregate of </w:t>
      </w:r>
      <w:bookmarkStart w:id="1007" w:name="xdx_902_eus-gaap--ShareBasedCompensation"/>
      <w:bookmarkEnd w:id="1007"/>
      <w:r>
        <w:rPr>
          <w:rFonts w:ascii="Times New Roman;Times;Serif" w:hAnsi="Times New Roman;Times;Serif"/>
          <w:b w:val="false"/>
          <w:i w:val="false"/>
          <w:caps w:val="false"/>
          <w:smallCaps w:val="false"/>
          <w:sz w:val="20"/>
        </w:rPr>
        <w:t xml:space="preserve">900,000 stock price-based PSUs to two service providers under separate agreements. On February 1, 2026, the Company granted </w:t>
      </w:r>
      <w:bookmarkStart w:id="1008" w:name="xdx_904_eus-gaap--ShareBasedCompensation"/>
      <w:bookmarkEnd w:id="1008"/>
      <w:r>
        <w:rPr>
          <w:rFonts w:ascii="Times New Roman;Times;Serif" w:hAnsi="Times New Roman;Times;Serif"/>
          <w:b w:val="false"/>
          <w:i w:val="false"/>
          <w:caps w:val="false"/>
          <w:smallCaps w:val="false"/>
          <w:sz w:val="20"/>
        </w:rPr>
        <w:t>500,000 PSUs to a third-party consultant, vesting in five tranches upon the Company’s common stock achieving closing-price milestones ranging from $</w:t>
      </w:r>
      <w:bookmarkStart w:id="1009" w:name="xdx_909_eus-gaap--SharePrice_iI_pid_c202"/>
      <w:bookmarkEnd w:id="1009"/>
      <w:r>
        <w:rPr>
          <w:rFonts w:ascii="Times New Roman;Times;Serif" w:hAnsi="Times New Roman;Times;Serif"/>
          <w:b w:val="false"/>
          <w:i w:val="false"/>
          <w:caps w:val="false"/>
          <w:smallCaps w:val="false"/>
          <w:sz w:val="20"/>
        </w:rPr>
        <w:t>5.00 to $</w:t>
      </w:r>
      <w:bookmarkStart w:id="1010" w:name="xdx_900_eus-gaap--SharePrice_iI_pid_c202"/>
      <w:bookmarkEnd w:id="1010"/>
      <w:r>
        <w:rPr>
          <w:rFonts w:ascii="Times New Roman;Times;Serif" w:hAnsi="Times New Roman;Times;Serif"/>
          <w:b w:val="false"/>
          <w:i w:val="false"/>
          <w:caps w:val="false"/>
          <w:smallCaps w:val="false"/>
          <w:sz w:val="20"/>
        </w:rPr>
        <w:t xml:space="preserve">12.00. On March 3, 2026, the Company granted </w:t>
      </w:r>
      <w:bookmarkStart w:id="1011" w:name="xdx_90E_eus-gaap--ShareBasedCompensation"/>
      <w:bookmarkEnd w:id="1011"/>
      <w:r>
        <w:rPr>
          <w:rFonts w:ascii="Times New Roman;Times;Serif" w:hAnsi="Times New Roman;Times;Serif"/>
          <w:b w:val="false"/>
          <w:i w:val="false"/>
          <w:caps w:val="false"/>
          <w:smallCaps w:val="false"/>
          <w:sz w:val="20"/>
        </w:rPr>
        <w:t>400,000 PSUs to a nonemployee service provider engaged as the Company’s Head of Investor Relations – Europe, vesting in six tranches upon the Company’s common stock achieving closing prices of $</w:t>
      </w:r>
      <w:bookmarkStart w:id="1012" w:name="xdx_90B_eus-gaap--SharePrice_iI_pid_c202"/>
      <w:bookmarkEnd w:id="1012"/>
      <w:r>
        <w:rPr>
          <w:rFonts w:ascii="Times New Roman;Times;Serif" w:hAnsi="Times New Roman;Times;Serif"/>
          <w:b w:val="false"/>
          <w:i w:val="false"/>
          <w:caps w:val="false"/>
          <w:smallCaps w:val="false"/>
          <w:sz w:val="20"/>
        </w:rPr>
        <w:t>5.00, $</w:t>
      </w:r>
      <w:bookmarkStart w:id="1013" w:name="xdx_90C_eus-gaap--SharePrice_iI_pid_c202"/>
      <w:bookmarkEnd w:id="1013"/>
      <w:r>
        <w:rPr>
          <w:rFonts w:ascii="Times New Roman;Times;Serif" w:hAnsi="Times New Roman;Times;Serif"/>
          <w:b w:val="false"/>
          <w:i w:val="false"/>
          <w:caps w:val="false"/>
          <w:smallCaps w:val="false"/>
          <w:sz w:val="20"/>
        </w:rPr>
        <w:t>6.00, $</w:t>
      </w:r>
      <w:bookmarkStart w:id="1014" w:name="xdx_90B_eus-gaap--SharePrice_iI_pid_c202"/>
      <w:bookmarkEnd w:id="1014"/>
      <w:r>
        <w:rPr>
          <w:rFonts w:ascii="Times New Roman;Times;Serif" w:hAnsi="Times New Roman;Times;Serif"/>
          <w:b w:val="false"/>
          <w:i w:val="false"/>
          <w:caps w:val="false"/>
          <w:smallCaps w:val="false"/>
          <w:sz w:val="20"/>
        </w:rPr>
        <w:t>7.00, $</w:t>
      </w:r>
      <w:bookmarkStart w:id="1015" w:name="xdx_90E_eus-gaap--SharePrice_iI_pid_c202"/>
      <w:bookmarkEnd w:id="1015"/>
      <w:r>
        <w:rPr>
          <w:rFonts w:ascii="Times New Roman;Times;Serif" w:hAnsi="Times New Roman;Times;Serif"/>
          <w:b w:val="false"/>
          <w:i w:val="false"/>
          <w:caps w:val="false"/>
          <w:smallCaps w:val="false"/>
          <w:sz w:val="20"/>
        </w:rPr>
        <w:t>8.00, $</w:t>
      </w:r>
      <w:bookmarkStart w:id="1016" w:name="xdx_90A_eus-gaap--SharePrice_iI_pid_c202"/>
      <w:bookmarkEnd w:id="1016"/>
      <w:r>
        <w:rPr>
          <w:rFonts w:ascii="Times New Roman;Times;Serif" w:hAnsi="Times New Roman;Times;Serif"/>
          <w:b w:val="false"/>
          <w:i w:val="false"/>
          <w:caps w:val="false"/>
          <w:smallCaps w:val="false"/>
          <w:sz w:val="20"/>
        </w:rPr>
        <w:t>10.00 and $</w:t>
      </w:r>
      <w:bookmarkStart w:id="1017" w:name="xdx_906_eus-gaap--SharePrice_iI_pid_c202"/>
      <w:bookmarkEnd w:id="1017"/>
      <w:r>
        <w:rPr>
          <w:rFonts w:ascii="Times New Roman;Times;Serif" w:hAnsi="Times New Roman;Times;Serif"/>
          <w:b w:val="false"/>
          <w:i w:val="false"/>
          <w:caps w:val="false"/>
          <w:smallCaps w:val="false"/>
          <w:sz w:val="20"/>
        </w:rPr>
        <w:t>15.00. Each award vests subject to the grantee’s continuous service through the Committee’s certification of the applicable milestone, is equity-classified, and settles solely in shares of the Company’s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stock-price targets represent market conditions. In accordance with ASC 718, the effect of the market conditions is reflected in the grant-date fair value of the awards, which was estimated using a Monte Carlo simulation with the following significant assumptions: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8" w:name="xdx_8BE_zCogPRPkVAb8"/>
      <w:bookmarkStart w:id="1019" w:name="xdx_898_eus-gaap--ShareBasedCompensation"/>
      <w:bookmarkEnd w:id="1018"/>
      <w:bookmarkEnd w:id="1019"/>
      <w:r>
        <w:rPr>
          <w:rFonts w:ascii="Times New Roman;Times;Serif" w:hAnsi="Times New Roman;Times;Serif"/>
          <w:b w:val="false"/>
          <w:i w:val="false"/>
          <w:caps w:val="false"/>
          <w:smallCaps w:val="false"/>
          <w:sz w:val="20"/>
        </w:rPr>
        <w:t>SCHEDULE OF ESTIMATED GRANT DATE FAIR VALUE</w:t>
      </w:r>
    </w:p>
    <w:tbl>
      <w:tblPr>
        <w:tblW w:w="4835" w:type="dxa"/>
        <w:jc w:val="left"/>
        <w:tblInd w:w="0" w:type="dxa"/>
        <w:tblLayout w:type="fixed"/>
        <w:tblCellMar>
          <w:top w:w="0" w:type="dxa"/>
          <w:left w:w="0" w:type="dxa"/>
          <w:bottom w:w="28" w:type="dxa"/>
          <w:right w:w="0" w:type="dxa"/>
        </w:tblCellMar>
      </w:tblPr>
      <w:tblGrid>
        <w:gridCol w:w="3005"/>
        <w:gridCol w:w="60"/>
        <w:gridCol w:w="140"/>
        <w:gridCol w:w="1400"/>
        <w:gridCol w:w="230"/>
      </w:tblGrid>
      <w:tr>
        <w:trPr/>
        <w:tc>
          <w:tcPr>
            <w:tcW w:w="3005" w:type="dxa"/>
            <w:tcBorders>
              <w:bottom w:val="single" w:sz="8" w:space="0" w:color="000000"/>
            </w:tcBorders>
            <w:vAlign w:val="center"/>
          </w:tcPr>
          <w:p>
            <w:pPr>
              <w:pStyle w:val="TableContents"/>
              <w:bidi w:val="0"/>
              <w:spacing w:before="0" w:after="283"/>
              <w:jc w:val="center"/>
              <w:rPr>
                <w:b/>
              </w:rPr>
            </w:pPr>
            <w:r>
              <w:rPr>
                <w:b/>
              </w:rPr>
              <w:t>Assumption</w:t>
            </w:r>
          </w:p>
        </w:tc>
        <w:tc>
          <w:tcPr>
            <w:tcW w:w="60" w:type="dxa"/>
            <w:tcBorders/>
            <w:tcMar>
              <w:bottom w:w="0" w:type="dxa"/>
            </w:tcMar>
            <w:vAlign w:val="center"/>
          </w:tcPr>
          <w:p>
            <w:pPr>
              <w:pStyle w:val="TableContents"/>
              <w:bidi w:val="0"/>
              <w:spacing w:before="0" w:after="283"/>
              <w:jc w:val="left"/>
              <w:rPr/>
            </w:pPr>
            <w:r>
              <w:rPr/>
              <w:t> </w:t>
            </w:r>
          </w:p>
        </w:tc>
        <w:tc>
          <w:tcPr>
            <w:tcW w:w="1540" w:type="dxa"/>
            <w:gridSpan w:val="2"/>
            <w:tcBorders>
              <w:bottom w:val="single" w:sz="8" w:space="0" w:color="000000"/>
            </w:tcBorders>
            <w:vAlign w:val="center"/>
          </w:tcPr>
          <w:p>
            <w:pPr>
              <w:pStyle w:val="TableContents"/>
              <w:bidi w:val="0"/>
              <w:spacing w:before="0" w:after="283"/>
              <w:jc w:val="center"/>
              <w:rPr>
                <w:b/>
              </w:rPr>
            </w:pPr>
            <w:r>
              <w:rPr>
                <w:b/>
              </w:rPr>
              <w:t>Value</w:t>
            </w:r>
          </w:p>
        </w:tc>
        <w:tc>
          <w:tcPr>
            <w:tcW w:w="230"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both"/>
              <w:rPr/>
            </w:pPr>
            <w:r>
              <w:rPr/>
              <w:t>Grant-date 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1020" w:name="xdx_90D_ecustom--GrantedSharePrice_iI_pi"/>
            <w:bookmarkEnd w:id="1020"/>
            <w:r>
              <w:rPr>
                <w:rFonts w:ascii="Times New Roman;Times;Serif" w:hAnsi="Times New Roman;Times;Serif"/>
                <w:sz w:val="20"/>
              </w:rPr>
              <w:t>2.06 – $</w:t>
            </w:r>
            <w:bookmarkStart w:id="1021" w:name="xdx_90C_ecustom--GrantedSharePrice_iI_pi"/>
            <w:bookmarkEnd w:id="1021"/>
            <w:r>
              <w:rPr>
                <w:rFonts w:ascii="Times New Roman;Times;Serif" w:hAnsi="Times New Roman;Times;Serif"/>
                <w:sz w:val="20"/>
              </w:rPr>
              <w:t>3.58</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both"/>
              <w:rPr/>
            </w:pPr>
            <w:r>
              <w:rPr/>
              <w:t>Stock price milestones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4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1022" w:name="xdx_90F_eus-gaap--SharePrice_iI_pid_c202"/>
            <w:bookmarkEnd w:id="1022"/>
            <w:r>
              <w:rPr>
                <w:rFonts w:ascii="Times New Roman;Times;Serif" w:hAnsi="Times New Roman;Times;Serif"/>
                <w:sz w:val="20"/>
              </w:rPr>
              <w:t>5.00 – $</w:t>
            </w:r>
            <w:bookmarkStart w:id="1023" w:name="xdx_90C_eus-gaap--SharePrice_iI_pid_c202"/>
            <w:bookmarkEnd w:id="1023"/>
            <w:r>
              <w:rPr>
                <w:rFonts w:ascii="Times New Roman;Times;Serif" w:hAnsi="Times New Roman;Times;Serif"/>
                <w:sz w:val="20"/>
              </w:rPr>
              <w:t>15.00</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both"/>
              <w:rPr/>
            </w:pPr>
            <w:r>
              <w:rPr/>
              <w:t>Expected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1024" w:name="xdx_90C_eus-gaap--ShareBasedCompensation"/>
            <w:bookmarkEnd w:id="1024"/>
            <w:r>
              <w:rPr>
                <w:rFonts w:ascii="Times New Roman;Times;Serif" w:hAnsi="Times New Roman;Times;Serif"/>
                <w:sz w:val="20"/>
              </w:rPr>
              <w:t xml:space="preserve">152.9% – </w:t>
            </w:r>
            <w:bookmarkStart w:id="1025" w:name="xdx_907_eus-gaap--ShareBasedCompensation"/>
            <w:bookmarkEnd w:id="1025"/>
            <w:r>
              <w:rPr>
                <w:rFonts w:ascii="Times New Roman;Times;Serif" w:hAnsi="Times New Roman;Times;Serif"/>
                <w:sz w:val="20"/>
              </w:rPr>
              <w:t>153.7</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05" w:type="dxa"/>
            <w:tcBorders/>
            <w:shd w:fill="FFFFFF" w:val="clear"/>
            <w:tcMar>
              <w:bottom w:w="0" w:type="dxa"/>
            </w:tcMar>
            <w:vAlign w:val="center"/>
          </w:tcPr>
          <w:p>
            <w:pPr>
              <w:pStyle w:val="TableContents"/>
              <w:bidi w:val="0"/>
              <w:spacing w:before="0" w:after="283"/>
              <w:jc w:val="both"/>
              <w:rPr/>
            </w:pPr>
            <w:r>
              <w:rPr/>
              <w:t>Risk-free interest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1026" w:name="xdx_909_eus-gaap--ShareBasedCompensation"/>
            <w:bookmarkEnd w:id="1026"/>
            <w:r>
              <w:rPr>
                <w:rFonts w:ascii="Times New Roman;Times;Serif" w:hAnsi="Times New Roman;Times;Serif"/>
                <w:sz w:val="20"/>
              </w:rPr>
              <w:t xml:space="preserve">3.72% – </w:t>
            </w:r>
            <w:bookmarkStart w:id="1027" w:name="xdx_90B_eus-gaap--ShareBasedCompensation"/>
            <w:bookmarkEnd w:id="1027"/>
            <w:r>
              <w:rPr>
                <w:rFonts w:ascii="Times New Roman;Times;Serif" w:hAnsi="Times New Roman;Times;Serif"/>
                <w:sz w:val="20"/>
              </w:rPr>
              <w:t>3.83</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005" w:type="dxa"/>
            <w:tcBorders/>
            <w:shd w:fill="CCEEFF" w:val="clear"/>
            <w:tcMar>
              <w:bottom w:w="0" w:type="dxa"/>
            </w:tcMar>
            <w:vAlign w:val="center"/>
          </w:tcPr>
          <w:p>
            <w:pPr>
              <w:pStyle w:val="TableContents"/>
              <w:bidi w:val="0"/>
              <w:spacing w:before="0" w:after="283"/>
              <w:jc w:val="both"/>
              <w:rPr/>
            </w:pPr>
            <w:r>
              <w:rPr/>
              <w:t>Expected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028" w:name="xdx_989_eus-gaap--ShareBasedCompensation"/>
            <w:bookmarkEnd w:id="1028"/>
          </w:p>
        </w:tc>
        <w:tc>
          <w:tcPr>
            <w:tcW w:w="1400" w:type="dxa"/>
            <w:tcBorders/>
            <w:shd w:fill="CCEEFF" w:val="clear"/>
            <w:tcMar>
              <w:bottom w:w="0" w:type="dxa"/>
            </w:tcMar>
            <w:vAlign w:val="center"/>
          </w:tcPr>
          <w:p>
            <w:pPr>
              <w:pStyle w:val="TableContents"/>
              <w:bidi w:val="0"/>
              <w:spacing w:before="0" w:after="283"/>
              <w:jc w:val="right"/>
              <w:rPr/>
            </w:pPr>
            <w:r>
              <w:rPr/>
              <w:t>0.00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05" w:type="dxa"/>
            <w:tcBorders/>
            <w:shd w:fill="FFFFFF" w:val="clear"/>
            <w:tcMar>
              <w:bottom w:w="0" w:type="dxa"/>
            </w:tcMar>
            <w:vAlign w:val="center"/>
          </w:tcPr>
          <w:p>
            <w:pPr>
              <w:pStyle w:val="TableContents"/>
              <w:bidi w:val="0"/>
              <w:spacing w:before="0" w:after="283"/>
              <w:jc w:val="both"/>
              <w:rPr/>
            </w:pPr>
            <w:r>
              <w:rPr/>
              <w:t>Derived service periods (range)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1029" w:name="xdx_90A_eus-gaap--SharebasedCompensation"/>
            <w:bookmarkEnd w:id="1029"/>
            <w:r>
              <w:rPr>
                <w:rFonts w:ascii="Times New Roman;Times;Serif" w:hAnsi="Times New Roman;Times;Serif"/>
                <w:sz w:val="20"/>
              </w:rPr>
              <w:t xml:space="preserve">3.43 – </w:t>
            </w:r>
            <w:bookmarkStart w:id="1030" w:name="xdx_906_eus-gaap--SharebasedCompensation"/>
            <w:bookmarkEnd w:id="1030"/>
            <w:r>
              <w:rPr>
                <w:rFonts w:ascii="Times New Roman;Times;Serif" w:hAnsi="Times New Roman;Times;Serif"/>
                <w:sz w:val="20"/>
              </w:rPr>
              <w:t>8.84 years</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31" w:name="xdx_8A9_z4yjLYQZusDc"/>
      <w:bookmarkEnd w:id="103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grant-date fair value of the </w:t>
      </w:r>
      <w:bookmarkStart w:id="1032" w:name="xdx_904_eus-gaap--StockIssuedDuringPerio"/>
      <w:bookmarkEnd w:id="1032"/>
      <w:r>
        <w:rPr>
          <w:rFonts w:ascii="Times New Roman;Times;Serif" w:hAnsi="Times New Roman;Times;Serif"/>
          <w:b w:val="false"/>
          <w:i w:val="false"/>
          <w:caps w:val="false"/>
          <w:smallCaps w:val="false"/>
          <w:sz w:val="20"/>
        </w:rPr>
        <w:t>900,000 stock price-based PSUs was approximately $</w:t>
      </w:r>
      <w:bookmarkStart w:id="1033" w:name="xdx_90C_eus-gaap--StockIssuedDuringPerio"/>
      <w:bookmarkEnd w:id="1033"/>
      <w:r>
        <w:rPr>
          <w:rFonts w:ascii="Times New Roman;Times;Serif" w:hAnsi="Times New Roman;Times;Serif"/>
          <w:b w:val="false"/>
          <w:i w:val="false"/>
          <w:caps w:val="false"/>
          <w:smallCaps w:val="false"/>
          <w:sz w:val="20"/>
        </w:rPr>
        <w:t>2,605, consisting of $</w:t>
      </w:r>
      <w:bookmarkStart w:id="1034" w:name="xdx_901_eus-gaap--StockIssuedDuringPerio"/>
      <w:bookmarkEnd w:id="1034"/>
      <w:r>
        <w:rPr>
          <w:rFonts w:ascii="Times New Roman;Times;Serif" w:hAnsi="Times New Roman;Times;Serif"/>
          <w:b w:val="false"/>
          <w:i w:val="false"/>
          <w:caps w:val="false"/>
          <w:smallCaps w:val="false"/>
          <w:sz w:val="20"/>
        </w:rPr>
        <w:t>1,778 for the February 2026 award, with a weighted-average grant-date fair value of $</w:t>
      </w:r>
      <w:bookmarkStart w:id="1035" w:name="xdx_904_eus-gaap--SharePrice_iI_pid_c202"/>
      <w:bookmarkEnd w:id="1035"/>
      <w:r>
        <w:rPr>
          <w:rFonts w:ascii="Times New Roman;Times;Serif" w:hAnsi="Times New Roman;Times;Serif"/>
          <w:b w:val="false"/>
          <w:i w:val="false"/>
          <w:caps w:val="false"/>
          <w:smallCaps w:val="false"/>
          <w:sz w:val="20"/>
        </w:rPr>
        <w:t>3.56 per unit, and $</w:t>
      </w:r>
      <w:bookmarkStart w:id="1036" w:name="xdx_908_eus-gaap--SharePrice_iI_pn3n3_c2"/>
      <w:bookmarkEnd w:id="1036"/>
      <w:r>
        <w:rPr>
          <w:rFonts w:ascii="Times New Roman;Times;Serif" w:hAnsi="Times New Roman;Times;Serif"/>
          <w:b w:val="false"/>
          <w:i w:val="false"/>
          <w:caps w:val="false"/>
          <w:smallCaps w:val="false"/>
          <w:sz w:val="20"/>
        </w:rPr>
        <w:t>827 for the March 2026 award, with a weighted-average grant-date fair value of $</w:t>
      </w:r>
      <w:bookmarkStart w:id="1037" w:name="xdx_907_eus-gaap--ShareBasedCompensation"/>
      <w:bookmarkEnd w:id="1037"/>
      <w:r>
        <w:rPr>
          <w:rFonts w:ascii="Times New Roman;Times;Serif" w:hAnsi="Times New Roman;Times;Serif"/>
          <w:b w:val="false"/>
          <w:i w:val="false"/>
          <w:caps w:val="false"/>
          <w:smallCaps w:val="false"/>
          <w:sz w:val="20"/>
        </w:rPr>
        <w:t>2.07 per unit. Compensation cost is recognized on a straight-line basis over each tranche’s derived service period, regardless of whether the applicable market condition is achieved, and previously recognized compensation cost is not reversed for failure to achieve a market condition, provided that the requisite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approximately $</w:t>
      </w:r>
      <w:bookmarkStart w:id="1038" w:name="xdx_900_eus-gaap--ShareBasedCompensation"/>
      <w:bookmarkEnd w:id="1038"/>
      <w:r>
        <w:rPr>
          <w:rFonts w:ascii="Times New Roman;Times;Serif" w:hAnsi="Times New Roman;Times;Serif"/>
          <w:b w:val="false"/>
          <w:i w:val="false"/>
          <w:caps w:val="false"/>
          <w:smallCaps w:val="false"/>
          <w:sz w:val="20"/>
        </w:rPr>
        <w:t>54 of compensation cost related to the February 2026 award during the three months ended March 31, 2026. Following termination of the consulting agreement effective April 2026, all related unvested PSUs were forfeited and the previously recognized compensation cost of approximately $</w:t>
      </w:r>
      <w:bookmarkStart w:id="1039" w:name="xdx_908_eus-gaap--ShareBasedCompensation"/>
      <w:bookmarkEnd w:id="1039"/>
      <w:r>
        <w:rPr>
          <w:rFonts w:ascii="Times New Roman;Times;Serif" w:hAnsi="Times New Roman;Times;Serif"/>
          <w:b w:val="false"/>
          <w:i w:val="false"/>
          <w:caps w:val="false"/>
          <w:smallCaps w:val="false"/>
          <w:sz w:val="20"/>
        </w:rPr>
        <w:t>54 was reversed during the three months ended June 30, 2026, consistent with the Company’s policy of accounting for forfeitures as they occur. No unrecognized compensation cost related to that award remained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March 2026 award, the Company recognized compensation cost of approximately $</w:t>
      </w:r>
      <w:bookmarkStart w:id="1040" w:name="xdx_900_eus-gaap--ShareBasedCompensation"/>
      <w:bookmarkEnd w:id="1040"/>
      <w:r>
        <w:rPr>
          <w:rFonts w:ascii="Times New Roman;Times;Serif" w:hAnsi="Times New Roman;Times;Serif"/>
          <w:b w:val="false"/>
          <w:i w:val="false"/>
          <w:caps w:val="false"/>
          <w:smallCaps w:val="false"/>
          <w:sz w:val="20"/>
        </w:rPr>
        <w:t>27 and $</w:t>
      </w:r>
      <w:bookmarkStart w:id="1041" w:name="xdx_900_eus-gaap--ShareBasedCompensation"/>
      <w:bookmarkEnd w:id="1041"/>
      <w:r>
        <w:rPr>
          <w:rFonts w:ascii="Times New Roman;Times;Serif" w:hAnsi="Times New Roman;Times;Serif"/>
          <w:b w:val="false"/>
          <w:i w:val="false"/>
          <w:caps w:val="false"/>
          <w:smallCaps w:val="false"/>
          <w:sz w:val="20"/>
        </w:rPr>
        <w:t>35 during the three and six months ended June 30, 2026, respectively. Unrecognized compensation cost related to that award was approximately $</w:t>
      </w:r>
      <w:bookmarkStart w:id="1042" w:name="xdx_905_eus-gaap--EmployeeServiceShareBa"/>
      <w:bookmarkEnd w:id="1042"/>
      <w:r>
        <w:rPr>
          <w:rFonts w:ascii="Times New Roman;Times;Serif" w:hAnsi="Times New Roman;Times;Serif"/>
          <w:b w:val="false"/>
          <w:i w:val="false"/>
          <w:caps w:val="false"/>
          <w:smallCaps w:val="false"/>
          <w:sz w:val="20"/>
        </w:rPr>
        <w:t xml:space="preserve">792 as of June 30, 2026 and is expected to be recognized over a weighted-average period of approximately </w:t>
      </w:r>
      <w:bookmarkStart w:id="1043" w:name="xdx_906_eus-gaap--EmployeeServiceShareBa"/>
      <w:bookmarkEnd w:id="1043"/>
      <w:r>
        <w:rPr>
          <w:rFonts w:ascii="Times New Roman;Times;Serif" w:hAnsi="Times New Roman;Times;Serif"/>
          <w:b w:val="false"/>
          <w:i w:val="false"/>
          <w:caps w:val="false"/>
          <w:smallCaps w:val="false"/>
          <w:sz w:val="20"/>
        </w:rPr>
        <w:t>7.4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AUM-Based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the Company granted up to </w:t>
      </w:r>
      <w:bookmarkStart w:id="1044" w:name="xdx_904_eus-gaap--StockIssuedDuringPerio"/>
      <w:bookmarkEnd w:id="1044"/>
      <w:r>
        <w:rPr>
          <w:rFonts w:ascii="Times New Roman;Times;Serif" w:hAnsi="Times New Roman;Times;Serif"/>
          <w:b w:val="false"/>
          <w:i w:val="false"/>
          <w:caps w:val="false"/>
          <w:smallCaps w:val="false"/>
          <w:sz w:val="20"/>
        </w:rPr>
        <w:t xml:space="preserve">1,000,000 PSUs to a third-party consultant, vesting upon the achievement of assets under management (“AUM”) milestones related to a planned commodity-linked investment product: </w:t>
      </w:r>
      <w:bookmarkStart w:id="1045" w:name="xdx_90A_ecustom--StockOptionDescription_"/>
      <w:bookmarkEnd w:id="1045"/>
      <w:r>
        <w:rPr>
          <w:rFonts w:ascii="Times New Roman;Times;Serif" w:hAnsi="Times New Roman;Times;Serif"/>
          <w:b w:val="false"/>
          <w:i w:val="false"/>
          <w:caps w:val="false"/>
          <w:smallCaps w:val="false"/>
          <w:sz w:val="20"/>
        </w:rPr>
        <w:t>(i) 50,000 units upon fund launch, subject to a dollar cap of $150; (ii) 100,000 units when AUM exceeds $500 million, subject to a dollar cap of $350; and (iii) 850,000 units when AUM exceeds $1 billion, subject to a dollar cap of $3,000. The number of shares issuable under each tranche is the lesser of the fixed share amount or the applicable dollar cap divided by the fair value per share on the applicable vesting date. The award is equity-classified and indexed to the Company’s own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PSUs contain performance conditions under ASC 718. The grant-date fair value was $</w:t>
      </w:r>
      <w:bookmarkStart w:id="1046" w:name="xdx_902_eus-gaap--ShareBasedCompensation"/>
      <w:bookmarkEnd w:id="1046"/>
      <w:r>
        <w:rPr>
          <w:rFonts w:ascii="Times New Roman;Times;Serif" w:hAnsi="Times New Roman;Times;Serif"/>
          <w:b w:val="false"/>
          <w:i w:val="false"/>
          <w:caps w:val="false"/>
          <w:smallCaps w:val="false"/>
          <w:sz w:val="20"/>
        </w:rPr>
        <w:t>1.83 per unit, based on the closing price of the Company’s common stock on the March 16, 2026 grant date, for an aggregate grant-date fair value of approximately $</w:t>
      </w:r>
      <w:bookmarkStart w:id="1047" w:name="xdx_907_eus-gaap--StockIssuedDuringPerio"/>
      <w:bookmarkEnd w:id="1047"/>
      <w:r>
        <w:rPr>
          <w:rFonts w:ascii="Times New Roman;Times;Serif" w:hAnsi="Times New Roman;Times;Serif"/>
          <w:b w:val="false"/>
          <w:i w:val="false"/>
          <w:caps w:val="false"/>
          <w:smallCaps w:val="false"/>
          <w:sz w:val="20"/>
        </w:rPr>
        <w:t>1,830, subject to a maximum aggregate dollar cap of $</w:t>
      </w:r>
      <w:bookmarkStart w:id="1048" w:name="xdx_90B_eus-gaap--StockIssuedDuringPerio"/>
      <w:bookmarkEnd w:id="1048"/>
      <w:r>
        <w:rPr>
          <w:rFonts w:ascii="Times New Roman;Times;Serif" w:hAnsi="Times New Roman;Times;Serif"/>
          <w:b w:val="false"/>
          <w:i w:val="false"/>
          <w:caps w:val="false"/>
          <w:smallCaps w:val="false"/>
          <w:sz w:val="20"/>
        </w:rPr>
        <w:t>3,500. Compensation cost is recognized if and when achievement of the applicable performance condition becomes probable under ASC 718-10-25-20, based on the portion of the awards expected to vest and the requisite service rendered. As of June 30, 2026, the underlying fund had not launched and management concluded that achievement of none of the applicable milestones was probable. Accordingly, no stock-based compensation expense was recognized for these awards during the three or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9" w:name="xdx_895_eus-gaap--ScheduleOfNonvestedRes"/>
      <w:bookmarkEnd w:id="1049"/>
      <w:r>
        <w:rPr>
          <w:rFonts w:ascii="Times New Roman;Times;Serif" w:hAnsi="Times New Roman;Times;Serif"/>
          <w:b w:val="false"/>
          <w:i w:val="false"/>
          <w:caps w:val="false"/>
          <w:smallCaps w:val="false"/>
          <w:sz w:val="20"/>
        </w:rPr>
        <w:t>The following table summarizes PSU activity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1050" w:name="xdx_8BA_zVEiJlIDW6T6"/>
      <w:bookmarkEnd w:id="1050"/>
      <w:r>
        <w:rPr>
          <w:rFonts w:ascii="Times New Roman;Times;Serif" w:hAnsi="Times New Roman;Times;Serif"/>
          <w:b w:val="false"/>
          <w:i w:val="false"/>
          <w:caps w:val="false"/>
          <w:smallCaps w:val="false"/>
          <w:sz w:val="20"/>
        </w:rPr>
        <w:t xml:space="preserve">SCHEDULE OF NON VESTED RESTRICTED ACTIVITY </w:t>
      </w:r>
    </w:p>
    <w:tbl>
      <w:tblPr>
        <w:tblW w:w="8613" w:type="dxa"/>
        <w:jc w:val="left"/>
        <w:tblInd w:w="0" w:type="dxa"/>
        <w:tblLayout w:type="fixed"/>
        <w:tblCellMar>
          <w:top w:w="0" w:type="dxa"/>
          <w:left w:w="0" w:type="dxa"/>
          <w:bottom w:w="0" w:type="dxa"/>
          <w:right w:w="0" w:type="dxa"/>
        </w:tblCellMar>
      </w:tblPr>
      <w:tblGrid>
        <w:gridCol w:w="3500"/>
        <w:gridCol w:w="60"/>
        <w:gridCol w:w="75"/>
        <w:gridCol w:w="1099"/>
        <w:gridCol w:w="95"/>
        <w:gridCol w:w="60"/>
        <w:gridCol w:w="60"/>
        <w:gridCol w:w="980"/>
        <w:gridCol w:w="60"/>
        <w:gridCol w:w="60"/>
        <w:gridCol w:w="74"/>
        <w:gridCol w:w="1220"/>
        <w:gridCol w:w="60"/>
        <w:gridCol w:w="60"/>
        <w:gridCol w:w="60"/>
        <w:gridCol w:w="980"/>
        <w:gridCol w:w="110"/>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1" w:name="xdx_4BE_us-gaap--AwardTypeAxis_us-gaap--"/>
            <w:bookmarkEnd w:id="1051"/>
          </w:p>
        </w:tc>
        <w:tc>
          <w:tcPr>
            <w:tcW w:w="1174" w:type="dxa"/>
            <w:gridSpan w:val="2"/>
            <w:tcBorders>
              <w:bottom w:val="single" w:sz="8" w:space="0" w:color="000000"/>
            </w:tcBorders>
            <w:tcMar>
              <w:bottom w:w="28" w:type="dxa"/>
            </w:tcMar>
            <w:vAlign w:val="center"/>
          </w:tcPr>
          <w:p>
            <w:pPr>
              <w:pStyle w:val="TableContents"/>
              <w:bidi w:val="0"/>
              <w:jc w:val="center"/>
              <w:rPr>
                <w:b/>
              </w:rPr>
            </w:pPr>
            <w:r>
              <w:rPr>
                <w:b/>
              </w:rPr>
              <w:t>PSUs -</w:t>
            </w:r>
          </w:p>
          <w:p>
            <w:pPr>
              <w:pStyle w:val="TableContents"/>
              <w:bidi w:val="0"/>
              <w:spacing w:before="0" w:after="283"/>
              <w:jc w:val="center"/>
              <w:rPr>
                <w:b/>
              </w:rPr>
            </w:pPr>
            <w:r>
              <w:rPr>
                <w:b/>
              </w:rPr>
              <w:t>Stock Price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52" w:name="xdx_4B1_us-gaap--AwardTypeAxis_custom--P"/>
            <w:bookmarkEnd w:id="1052"/>
          </w:p>
        </w:tc>
        <w:tc>
          <w:tcPr>
            <w:tcW w:w="1040" w:type="dxa"/>
            <w:gridSpan w:val="2"/>
            <w:tcBorders>
              <w:bottom w:val="single" w:sz="8" w:space="0" w:color="000000"/>
            </w:tcBorders>
            <w:tcMar>
              <w:bottom w:w="28" w:type="dxa"/>
            </w:tcMar>
            <w:vAlign w:val="center"/>
          </w:tcPr>
          <w:p>
            <w:pPr>
              <w:pStyle w:val="TableContents"/>
              <w:bidi w:val="0"/>
              <w:jc w:val="center"/>
              <w:rPr>
                <w:b/>
              </w:rPr>
            </w:pPr>
            <w:r>
              <w:rPr>
                <w:b/>
              </w:rPr>
              <w:t>PSUs -</w:t>
            </w:r>
          </w:p>
          <w:p>
            <w:pPr>
              <w:pStyle w:val="TableContents"/>
              <w:bidi w:val="0"/>
              <w:spacing w:before="0" w:after="283"/>
              <w:jc w:val="center"/>
              <w:rPr>
                <w:b/>
              </w:rPr>
            </w:pPr>
            <w:r>
              <w:rPr>
                <w:b/>
              </w:rPr>
              <w:t>AUM</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53" w:name="xdx_4B4_us-gaap--AwardTypeAxis_custom--P"/>
            <w:bookmarkEnd w:id="1053"/>
          </w:p>
        </w:tc>
        <w:tc>
          <w:tcPr>
            <w:tcW w:w="1294" w:type="dxa"/>
            <w:gridSpan w:val="2"/>
            <w:tcBorders>
              <w:bottom w:val="single" w:sz="8" w:space="0" w:color="000000"/>
            </w:tcBorders>
            <w:tcMar>
              <w:bottom w:w="28" w:type="dxa"/>
            </w:tcMar>
            <w:vAlign w:val="center"/>
          </w:tcPr>
          <w:p>
            <w:pPr>
              <w:pStyle w:val="TableContents"/>
              <w:bidi w:val="0"/>
              <w:jc w:val="center"/>
              <w:rPr>
                <w:b/>
              </w:rPr>
            </w:pPr>
            <w:r>
              <w:rPr>
                <w:b/>
              </w:rPr>
              <w:t>PSUs -</w:t>
            </w:r>
          </w:p>
          <w:p>
            <w:pPr>
              <w:pStyle w:val="TableContents"/>
              <w:bidi w:val="0"/>
              <w:spacing w:before="0" w:after="283"/>
              <w:jc w:val="center"/>
              <w:rPr>
                <w:b/>
              </w:rPr>
            </w:pPr>
            <w:r>
              <w:rPr>
                <w:b/>
              </w:rPr>
              <w:t>GLDY Sales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54" w:name="xdx_4B7_z62kiUtnhxv"/>
            <w:bookmarkEnd w:id="1054"/>
          </w:p>
        </w:tc>
        <w:tc>
          <w:tcPr>
            <w:tcW w:w="1040" w:type="dxa"/>
            <w:gridSpan w:val="2"/>
            <w:tcBorders>
              <w:bottom w:val="single" w:sz="8" w:space="0" w:color="000000"/>
            </w:tcBorders>
            <w:tcMar>
              <w:bottom w:w="28" w:type="dxa"/>
            </w:tcMar>
            <w:vAlign w:val="center"/>
          </w:tcPr>
          <w:p>
            <w:pPr>
              <w:pStyle w:val="TableContents"/>
              <w:bidi w:val="0"/>
              <w:jc w:val="center"/>
              <w:rPr>
                <w:b/>
              </w:rPr>
            </w:pPr>
            <w:r>
              <w:rPr>
                <w:b/>
              </w:rPr>
              <w:t>Total</w:t>
            </w:r>
          </w:p>
          <w:p>
            <w:pPr>
              <w:pStyle w:val="TableContents"/>
              <w:bidi w:val="0"/>
              <w:spacing w:before="0" w:after="283"/>
              <w:jc w:val="center"/>
              <w:rPr>
                <w:b/>
              </w:rPr>
            </w:pPr>
            <w:r>
              <w:rPr>
                <w:b/>
              </w:rPr>
              <w:t>PSUs</w:t>
            </w:r>
          </w:p>
        </w:tc>
        <w:tc>
          <w:tcPr>
            <w:tcW w:w="110" w:type="dxa"/>
            <w:tcBorders/>
            <w:vAlign w:val="center"/>
          </w:tcPr>
          <w:p>
            <w:pPr>
              <w:pStyle w:val="TableContents"/>
              <w:bidi w:val="0"/>
              <w:spacing w:before="0" w:after="283"/>
              <w:jc w:val="left"/>
              <w:rPr/>
            </w:pPr>
            <w:r>
              <w:rPr/>
              <w:t> </w:t>
            </w:r>
            <w:bookmarkStart w:id="1055" w:name="xdx_43B_c20260101__20260630_eus-gaap--Sh"/>
            <w:bookmarkEnd w:id="1055"/>
          </w:p>
        </w:tc>
      </w:tr>
      <w:tr>
        <w:trPr/>
        <w:tc>
          <w:tcPr>
            <w:tcW w:w="3500" w:type="dxa"/>
            <w:tcBorders/>
            <w:shd w:fill="CCEEFF" w:val="clear"/>
            <w:vAlign w:val="center"/>
          </w:tcPr>
          <w:p>
            <w:pPr>
              <w:pStyle w:val="TableContents"/>
              <w:bidi w:val="0"/>
              <w:spacing w:before="0" w:after="283"/>
              <w:jc w:val="left"/>
              <w:rPr/>
            </w:pPr>
            <w:r>
              <w:rPr/>
              <w:t>Nonvested as of December 31, 2025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56" w:name="xdx_403_eus-gaap--ShareBasedCompensation"/>
            <w:bookmarkEnd w:id="1056"/>
          </w:p>
        </w:tc>
      </w:tr>
      <w:tr>
        <w:trPr/>
        <w:tc>
          <w:tcPr>
            <w:tcW w:w="350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900,000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4,900,000</w:t>
            </w:r>
          </w:p>
        </w:tc>
        <w:tc>
          <w:tcPr>
            <w:tcW w:w="110" w:type="dxa"/>
            <w:tcBorders/>
            <w:shd w:fill="FFFFFF" w:val="clear"/>
            <w:vAlign w:val="center"/>
          </w:tcPr>
          <w:p>
            <w:pPr>
              <w:pStyle w:val="TableContents"/>
              <w:bidi w:val="0"/>
              <w:spacing w:before="0" w:after="283"/>
              <w:jc w:val="left"/>
              <w:rPr/>
            </w:pPr>
            <w:r>
              <w:rPr/>
              <w:t> </w:t>
            </w:r>
            <w:bookmarkStart w:id="1057" w:name="xdx_40D_eus-gaap--SharebasedCompensation"/>
            <w:bookmarkEnd w:id="1057"/>
          </w:p>
        </w:tc>
      </w:tr>
      <w:tr>
        <w:trPr/>
        <w:tc>
          <w:tcPr>
            <w:tcW w:w="350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58" w:name="xdx_40F_eus-gaap--SharebasedCompensation"/>
            <w:bookmarkEnd w:id="1058"/>
          </w:p>
        </w:tc>
      </w:tr>
      <w:tr>
        <w:trPr/>
        <w:tc>
          <w:tcPr>
            <w:tcW w:w="3500" w:type="dxa"/>
            <w:tcBorders/>
            <w:shd w:fill="FFFFFF" w:val="clear"/>
            <w:vAlign w:val="center"/>
          </w:tcPr>
          <w:p>
            <w:pPr>
              <w:pStyle w:val="TableContents"/>
              <w:bidi w:val="0"/>
              <w:spacing w:before="0" w:after="283"/>
              <w:jc w:val="left"/>
              <w:rPr/>
            </w:pPr>
            <w:r>
              <w:rPr/>
              <w:t>Canceled / forfeited</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9" w:type="dxa"/>
            <w:tcBorders>
              <w:bottom w:val="single" w:sz="8" w:space="0" w:color="000000"/>
            </w:tcBorders>
            <w:shd w:fill="FFFFFF" w:val="clear"/>
            <w:tcMar>
              <w:bottom w:w="28" w:type="dxa"/>
            </w:tcMar>
            <w:vAlign w:val="center"/>
          </w:tcPr>
          <w:p>
            <w:pPr>
              <w:pStyle w:val="TableContents"/>
              <w:bidi w:val="0"/>
              <w:spacing w:before="0" w:after="283"/>
              <w:jc w:val="right"/>
              <w:rPr/>
            </w:pPr>
            <w:r>
              <w:rPr/>
              <w:t>(500,000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(500,000</w:t>
            </w:r>
          </w:p>
        </w:tc>
        <w:tc>
          <w:tcPr>
            <w:tcW w:w="110" w:type="dxa"/>
            <w:tcBorders/>
            <w:shd w:fill="FFFFFF" w:val="clear"/>
            <w:vAlign w:val="center"/>
          </w:tcPr>
          <w:p>
            <w:pPr>
              <w:pStyle w:val="TableContents"/>
              <w:bidi w:val="0"/>
              <w:spacing w:before="0" w:after="283"/>
              <w:jc w:val="left"/>
              <w:rPr/>
            </w:pPr>
            <w:r>
              <w:rPr/>
              <w:t>)</w:t>
            </w:r>
            <w:bookmarkStart w:id="1059" w:name="xdx_43A_c20260101__20260630_eus-gaap--Sh"/>
            <w:bookmarkEnd w:id="1059"/>
          </w:p>
        </w:tc>
      </w:tr>
      <w:tr>
        <w:trPr/>
        <w:tc>
          <w:tcPr>
            <w:tcW w:w="3500" w:type="dxa"/>
            <w:tcBorders/>
            <w:shd w:fill="CCEEFF" w:val="clear"/>
            <w:vAlign w:val="center"/>
          </w:tcPr>
          <w:p>
            <w:pPr>
              <w:pStyle w:val="TableContents"/>
              <w:bidi w:val="0"/>
              <w:spacing w:before="0" w:after="283"/>
              <w:jc w:val="left"/>
              <w:rPr/>
            </w:pPr>
            <w:r>
              <w:rPr/>
              <w:t>Nonvested as of June 30, 2026</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double" w:sz="6" w:space="0" w:color="000000"/>
            </w:tcBorders>
            <w:shd w:fill="CCEEFF" w:val="clear"/>
            <w:tcMar>
              <w:bottom w:w="28" w:type="dxa"/>
            </w:tcMar>
            <w:vAlign w:val="center"/>
          </w:tcPr>
          <w:p>
            <w:pPr>
              <w:pStyle w:val="TableContents"/>
              <w:bidi w:val="0"/>
              <w:spacing w:before="0" w:after="283"/>
              <w:jc w:val="right"/>
              <w:rPr/>
            </w:pPr>
            <w:r>
              <w:rPr/>
              <w:t>400,000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1060" w:name="xdx_8AD_z0hc5ahnwW2d"/>
      <w:bookmarkEnd w:id="106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above excludes (i) performance-based restricted stock units tied to organic gross revenue growth targets, under which certain consultants may earn additional units annually based on achievement of annual revenue growth targets established and certified by the Committee, because the number of units issuable is not determinable until the applicable targets are established, (ii) an award of up to </w:t>
      </w:r>
      <w:bookmarkStart w:id="1061" w:name="xdx_90C_eus-gaap--ShareBasedCompensation"/>
      <w:bookmarkEnd w:id="1061"/>
      <w:r>
        <w:rPr>
          <w:rFonts w:ascii="Times New Roman;Times;Serif" w:hAnsi="Times New Roman;Times;Serif"/>
          <w:b w:val="false"/>
          <w:i w:val="false"/>
          <w:caps w:val="false"/>
          <w:smallCaps w:val="false"/>
          <w:sz w:val="20"/>
        </w:rPr>
        <w:t xml:space="preserve">300,000 performance-based restricted stock units to an employee for which the performance metrics have not yet been established, which had not reached a grant date under ASC 718 as of June 30, 2026, and (iii) proposed PSU awards to four third-party consultants involving an aggregate of up to approximately </w:t>
      </w:r>
      <w:bookmarkStart w:id="1062" w:name="xdx_90D_eus-gaap--SharesIssued_iI_pid_c2"/>
      <w:bookmarkEnd w:id="1062"/>
      <w:r>
        <w:rPr>
          <w:rFonts w:ascii="Times New Roman;Times;Serif" w:hAnsi="Times New Roman;Times;Serif"/>
          <w:b w:val="false"/>
          <w:i w:val="false"/>
          <w:caps w:val="false"/>
          <w:smallCaps w:val="false"/>
          <w:sz w:val="20"/>
        </w:rPr>
        <w:t>910,000 units tied to cumulative gross revenue and token-related performance milestones, because those awards had not been approved by the Board of Directors or the Committee as of June 30, 2026 and therefore had not reached a grant date under ASC 718.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ViralClear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2019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w:t>
      </w:r>
      <w:bookmarkStart w:id="1063" w:name="xdx_90B_eus-gaap--CommonStockCapitalShar"/>
      <w:bookmarkEnd w:id="1063"/>
      <w:r>
        <w:rPr>
          <w:rFonts w:ascii="Times New Roman;Times;Serif" w:hAnsi="Times New Roman;Times;Serif"/>
          <w:b w:val="false"/>
          <w:i w:val="false"/>
          <w:caps w:val="false"/>
          <w:smallCaps w:val="false"/>
          <w:sz w:val="20"/>
        </w:rPr>
        <w:t>2,915,071 shares remaining available for future issuance of awards under the terms of the ViralClear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 (ViralClear)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64" w:name="xdx_896_eus-gaap--ScheduleOfStockholders"/>
      <w:bookmarkEnd w:id="1064"/>
      <w:r>
        <w:rPr>
          <w:rFonts w:ascii="Times New Roman;Times;Serif" w:hAnsi="Times New Roman;Times;Serif"/>
          <w:b w:val="false"/>
          <w:i w:val="false"/>
          <w:caps w:val="false"/>
          <w:smallCaps w:val="false"/>
          <w:sz w:val="20"/>
        </w:rPr>
        <w:t>A summary of the warrant activity for six months ended June 30, 2026 is as follows:</w:t>
      </w:r>
    </w:p>
    <w:p>
      <w:pPr>
        <w:pStyle w:val="TextBody"/>
        <w:bidi w:val="0"/>
        <w:spacing w:before="0" w:after="0"/>
        <w:ind w:left="0" w:right="0" w:hanging="0"/>
        <w:jc w:val="both"/>
        <w:rPr>
          <w:caps w:val="false"/>
          <w:smallCaps w:val="false"/>
        </w:rPr>
      </w:pPr>
      <w:r>
        <w:rPr>
          <w:caps w:val="false"/>
          <w:smallCaps w:val="false"/>
        </w:rPr>
        <w:t> </w:t>
      </w:r>
      <w:bookmarkStart w:id="1065" w:name="xdx_8B1_zv01V1ZWe0c1"/>
      <w:bookmarkEnd w:id="1065"/>
      <w:r>
        <w:rPr>
          <w:rFonts w:ascii="Times New Roman;Times;Serif" w:hAnsi="Times New Roman;Times;Serif"/>
          <w:b w:val="false"/>
          <w:i w:val="false"/>
          <w:caps w:val="false"/>
          <w:smallCaps w:val="false"/>
          <w:sz w:val="20"/>
        </w:rPr>
        <w:t>SUMMARY OF WARRANT ACTIVITY</w:t>
      </w:r>
    </w:p>
    <w:tbl>
      <w:tblPr>
        <w:tblW w:w="8375" w:type="dxa"/>
        <w:jc w:val="left"/>
        <w:tblInd w:w="0" w:type="dxa"/>
        <w:tblLayout w:type="fixed"/>
        <w:tblCellMar>
          <w:top w:w="0" w:type="dxa"/>
          <w:left w:w="0" w:type="dxa"/>
          <w:bottom w:w="0" w:type="dxa"/>
          <w:right w:w="0" w:type="dxa"/>
        </w:tblCellMar>
      </w:tblPr>
      <w:tblGrid>
        <w:gridCol w:w="2990"/>
        <w:gridCol w:w="60"/>
        <w:gridCol w:w="60"/>
        <w:gridCol w:w="1100"/>
        <w:gridCol w:w="60"/>
        <w:gridCol w:w="60"/>
        <w:gridCol w:w="306"/>
        <w:gridCol w:w="1619"/>
        <w:gridCol w:w="60"/>
        <w:gridCol w:w="60"/>
        <w:gridCol w:w="303"/>
        <w:gridCol w:w="1622"/>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Remaining</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Contractual Term</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66" w:name="xdx_98F_eus-gaap--ShareBasedCompensation"/>
            <w:bookmarkEnd w:id="1066"/>
          </w:p>
        </w:tc>
        <w:tc>
          <w:tcPr>
            <w:tcW w:w="1100" w:type="dxa"/>
            <w:tcBorders/>
            <w:shd w:fill="CCEEFF" w:val="clear"/>
            <w:vAlign w:val="center"/>
          </w:tcPr>
          <w:p>
            <w:pPr>
              <w:pStyle w:val="TableContents"/>
              <w:bidi w:val="0"/>
              <w:spacing w:before="0" w:after="283"/>
              <w:jc w:val="right"/>
              <w:rPr/>
            </w:pPr>
            <w:r>
              <w:rPr/>
              <w:t>     </w:t>
            </w:r>
            <w:r>
              <w:rPr/>
              <w:t>473,772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1067" w:name="xdx_98F_eus-gaap--ShareBasedCompensation"/>
            <w:bookmarkEnd w:id="1067"/>
          </w:p>
        </w:tc>
        <w:tc>
          <w:tcPr>
            <w:tcW w:w="1619" w:type="dxa"/>
            <w:tcBorders/>
            <w:shd w:fill="CCEEFF" w:val="clear"/>
            <w:vAlign w:val="center"/>
          </w:tcPr>
          <w:p>
            <w:pPr>
              <w:pStyle w:val="TableContents"/>
              <w:bidi w:val="0"/>
              <w:spacing w:before="0" w:after="283"/>
              <w:jc w:val="right"/>
              <w:rPr/>
            </w:pPr>
            <w:r>
              <w:rPr/>
              <w:t>     </w:t>
            </w: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bookmarkStart w:id="1068" w:name="xdx_986_ecustom--WarrantsOutstandingWeig"/>
            <w:bookmarkEnd w:id="1068"/>
          </w:p>
        </w:tc>
        <w:tc>
          <w:tcPr>
            <w:tcW w:w="1622"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Forfeited/expired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69" w:name="xdx_980_eus-gaap--ShareBasedCompensation"/>
            <w:bookmarkEnd w:id="1069"/>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70" w:name="xdx_983_eus-gaap--ShareBasedCompensation"/>
            <w:bookmarkEnd w:id="1070"/>
          </w:p>
        </w:tc>
        <w:tc>
          <w:tcPr>
            <w:tcW w:w="16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1" w:name="xdx_981_eus-gaap--ShareBasedCompensation"/>
            <w:bookmarkEnd w:id="1071"/>
          </w:p>
        </w:tc>
        <w:tc>
          <w:tcPr>
            <w:tcW w:w="1100" w:type="dxa"/>
            <w:tcBorders/>
            <w:shd w:fill="CCEEFF" w:val="clear"/>
            <w:vAlign w:val="center"/>
          </w:tcPr>
          <w:p>
            <w:pPr>
              <w:pStyle w:val="TableContents"/>
              <w:bidi w:val="0"/>
              <w:spacing w:before="0" w:after="283"/>
              <w:jc w:val="right"/>
              <w:rPr/>
            </w:pPr>
            <w:r>
              <w:rPr/>
              <w:t>473,772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1072" w:name="xdx_983_eus-gaap--ShareBasedCompensation"/>
            <w:bookmarkEnd w:id="1072"/>
          </w:p>
        </w:tc>
        <w:tc>
          <w:tcPr>
            <w:tcW w:w="1619"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bookmarkStart w:id="1073" w:name="xdx_980_ecustom--WarrantsOutstandingWeig"/>
            <w:bookmarkEnd w:id="1073"/>
          </w:p>
        </w:tc>
        <w:tc>
          <w:tcPr>
            <w:tcW w:w="1622" w:type="dxa"/>
            <w:tcBorders/>
            <w:shd w:fill="CCEEFF" w:val="cle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4" w:name="xdx_989_ecustom--ClassOfWarrantsOrRights"/>
            <w:bookmarkEnd w:id="1074"/>
          </w:p>
        </w:tc>
        <w:tc>
          <w:tcPr>
            <w:tcW w:w="1100" w:type="dxa"/>
            <w:tcBorders/>
            <w:shd w:fill="FFFFFF" w:val="clear"/>
            <w:vAlign w:val="center"/>
          </w:tcPr>
          <w:p>
            <w:pPr>
              <w:pStyle w:val="TableContents"/>
              <w:bidi w:val="0"/>
              <w:spacing w:before="0" w:after="283"/>
              <w:jc w:val="right"/>
              <w:rPr/>
            </w:pPr>
            <w:r>
              <w:rPr/>
              <w:t>473,772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bookmarkStart w:id="1075" w:name="xdx_98B_ecustom--ClassOfWarrantOrRightsW"/>
            <w:bookmarkEnd w:id="1075"/>
          </w:p>
        </w:tc>
        <w:tc>
          <w:tcPr>
            <w:tcW w:w="1619"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bookmarkStart w:id="1076" w:name="xdx_98F_ecustom--WarrantsExercisableWeig"/>
            <w:bookmarkEnd w:id="1076"/>
          </w:p>
        </w:tc>
        <w:tc>
          <w:tcPr>
            <w:tcW w:w="1622" w:type="dxa"/>
            <w:tcBorders/>
            <w:shd w:fill="FFFFFF" w:val="clear"/>
            <w:vAlign w:val="center"/>
          </w:tcPr>
          <w:p>
            <w:pPr>
              <w:pStyle w:val="TableContents"/>
              <w:bidi w:val="0"/>
              <w:spacing w:before="0" w:after="283"/>
              <w:jc w:val="right"/>
              <w:rPr/>
            </w:pPr>
            <w:r>
              <w:rPr/>
              <w:t>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77" w:name="xdx_8A7_zgh7F1FhWrCh"/>
      <w:bookmarkEnd w:id="10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78" w:name="xdx_899_ecustom--ScheduleOfWarrants_z3qq"/>
      <w:bookmarkEnd w:id="1078"/>
      <w:r>
        <w:rPr>
          <w:rFonts w:ascii="Times New Roman;Times;Serif" w:hAnsi="Times New Roman;Times;Serif"/>
          <w:b w:val="false"/>
          <w:i w:val="false"/>
          <w:caps w:val="false"/>
          <w:smallCaps w:val="false"/>
          <w:sz w:val="20"/>
        </w:rPr>
        <w:t>The following table presents information related to warrants (ViralClear) at June 30, 2026:</w:t>
      </w:r>
    </w:p>
    <w:p>
      <w:pPr>
        <w:pStyle w:val="TextBody"/>
        <w:bidi w:val="0"/>
        <w:spacing w:before="0" w:after="0"/>
        <w:ind w:left="0" w:right="0" w:hanging="0"/>
        <w:jc w:val="both"/>
        <w:rPr>
          <w:caps w:val="false"/>
          <w:smallCaps w:val="false"/>
        </w:rPr>
      </w:pPr>
      <w:r>
        <w:rPr>
          <w:caps w:val="false"/>
          <w:smallCaps w:val="false"/>
        </w:rPr>
        <w:t> </w:t>
      </w:r>
      <w:bookmarkStart w:id="1079" w:name="xdx_8B9_zzQ5ugnnDo0g"/>
      <w:bookmarkEnd w:id="1079"/>
      <w:r>
        <w:rPr>
          <w:rFonts w:ascii="Times New Roman;Times;Serif" w:hAnsi="Times New Roman;Times;Serif"/>
          <w:b w:val="false"/>
          <w:i w:val="false"/>
          <w:caps w:val="false"/>
          <w:smallCaps w:val="false"/>
          <w:sz w:val="20"/>
        </w:rPr>
        <w:t>SCHEDULE OF RELATED TO WARRANTS</w:t>
      </w:r>
    </w:p>
    <w:tbl>
      <w:tblPr>
        <w:tblW w:w="3990" w:type="dxa"/>
        <w:jc w:val="left"/>
        <w:tblInd w:w="0" w:type="dxa"/>
        <w:tblLayout w:type="fixed"/>
        <w:tblCellMar>
          <w:top w:w="0" w:type="dxa"/>
          <w:left w:w="0" w:type="dxa"/>
          <w:bottom w:w="0" w:type="dxa"/>
          <w:right w:w="0" w:type="dxa"/>
        </w:tblCellMar>
      </w:tblPr>
      <w:tblGrid>
        <w:gridCol w:w="231"/>
        <w:gridCol w:w="659"/>
        <w:gridCol w:w="60"/>
        <w:gridCol w:w="60"/>
        <w:gridCol w:w="89"/>
        <w:gridCol w:w="1191"/>
        <w:gridCol w:w="60"/>
        <w:gridCol w:w="60"/>
        <w:gridCol w:w="1580"/>
      </w:tblGrid>
      <w:tr>
        <w:trPr/>
        <w:tc>
          <w:tcPr>
            <w:tcW w:w="89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rPr>
            </w:pPr>
            <w:r>
              <w:rPr>
                <w:b/>
              </w:rPr>
              <w:t>Expiration</w:t>
            </w:r>
          </w:p>
        </w:tc>
      </w:tr>
      <w:tr>
        <w:trPr/>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center"/>
              <w:rPr>
                <w:b/>
              </w:rPr>
            </w:pPr>
            <w:r>
              <w:rPr>
                <w:b/>
              </w:rPr>
              <w:t>Date</w:t>
            </w:r>
          </w:p>
        </w:tc>
      </w:tr>
      <w:tr>
        <w:trPr/>
        <w:tc>
          <w:tcPr>
            <w:tcW w:w="231" w:type="dxa"/>
            <w:tcBorders/>
            <w:shd w:fill="CCEEFF" w:val="clear"/>
            <w:vAlign w:val="center"/>
          </w:tcPr>
          <w:p>
            <w:pPr>
              <w:pStyle w:val="TableContents"/>
              <w:bidi w:val="0"/>
              <w:spacing w:before="0" w:after="283"/>
              <w:jc w:val="left"/>
              <w:rPr/>
            </w:pPr>
            <w:r>
              <w:rPr/>
              <w:t>$</w:t>
            </w:r>
            <w:bookmarkStart w:id="1080" w:name="xdx_982_eus-gaap--ClassOfWarrantOrRightE"/>
            <w:bookmarkEnd w:id="1080"/>
          </w:p>
        </w:tc>
        <w:tc>
          <w:tcPr>
            <w:tcW w:w="659"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1081" w:name="xdx_980_ecustom--ClassOfWarrantsOrRightO"/>
            <w:bookmarkEnd w:id="1081"/>
          </w:p>
        </w:tc>
        <w:tc>
          <w:tcPr>
            <w:tcW w:w="1191" w:type="dxa"/>
            <w:tcBorders/>
            <w:shd w:fill="CCEEFF" w:val="clear"/>
            <w:vAlign w:val="center"/>
          </w:tcPr>
          <w:p>
            <w:pPr>
              <w:pStyle w:val="TableContents"/>
              <w:bidi w:val="0"/>
              <w:spacing w:before="0" w:after="283"/>
              <w:jc w:val="right"/>
              <w:rPr/>
            </w:pPr>
            <w:r>
              <w:rPr/>
              <w:t>473,772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2" w:name="xdx_98A_ecustom--WarrantsExpirationDateD"/>
            <w:bookmarkEnd w:id="1082"/>
          </w:p>
        </w:tc>
        <w:tc>
          <w:tcPr>
            <w:tcW w:w="1580" w:type="dxa"/>
            <w:tcBorders/>
            <w:shd w:fill="CCEEFF" w:val="clear"/>
            <w:vAlign w:val="center"/>
          </w:tcPr>
          <w:p>
            <w:pPr>
              <w:pStyle w:val="TableContents"/>
              <w:bidi w:val="0"/>
              <w:spacing w:before="0" w:after="283"/>
              <w:jc w:val="center"/>
              <w:rPr/>
            </w:pPr>
            <w:r>
              <w:rPr/>
              <w:t>November 2027</w:t>
            </w:r>
          </w:p>
        </w:tc>
      </w:tr>
    </w:tbl>
    <w:p>
      <w:pPr>
        <w:pStyle w:val="TextBody"/>
        <w:bidi w:val="0"/>
        <w:spacing w:before="0" w:after="0"/>
        <w:ind w:left="0" w:right="0" w:hanging="0"/>
        <w:jc w:val="both"/>
        <w:rPr>
          <w:caps w:val="false"/>
          <w:smallCaps w:val="false"/>
        </w:rPr>
      </w:pPr>
      <w:bookmarkStart w:id="1083" w:name="xdx_8AE_z9wo3B6SD6bj"/>
      <w:bookmarkEnd w:id="108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(ViralClear)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84" w:name="xdx_896_eus-gaap--ScheduleOfNonvestedRes"/>
      <w:bookmarkEnd w:id="1084"/>
      <w:r>
        <w:rPr>
          <w:rFonts w:ascii="Times New Roman;Times;Serif" w:hAnsi="Times New Roman;Times;Serif"/>
          <w:b w:val="false"/>
          <w:i w:val="false"/>
          <w:caps w:val="false"/>
          <w:smallCaps w:val="false"/>
          <w:sz w:val="20"/>
        </w:rPr>
        <w:t>The following table summarizes the restricted stock activity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1085" w:name="xdx_8BC_z8kaI0sY8RX5"/>
      <w:bookmarkEnd w:id="1085"/>
      <w:r>
        <w:rPr>
          <w:rFonts w:ascii="Times New Roman;Times;Serif" w:hAnsi="Times New Roman;Times;Serif"/>
          <w:b w:val="false"/>
          <w:i w:val="false"/>
          <w:caps w:val="false"/>
          <w:smallCaps w:val="false"/>
          <w:sz w:val="20"/>
        </w:rPr>
        <w:t xml:space="preserve">SCHEDULE OF NON VESTED RESTRICTED ACTIVITY </w:t>
      </w:r>
    </w:p>
    <w:tbl>
      <w:tblPr>
        <w:tblW w:w="5920" w:type="dxa"/>
        <w:jc w:val="left"/>
        <w:tblInd w:w="0" w:type="dxa"/>
        <w:tblLayout w:type="fixed"/>
        <w:tblCellMar>
          <w:top w:w="0" w:type="dxa"/>
          <w:left w:w="0" w:type="dxa"/>
          <w:bottom w:w="0" w:type="dxa"/>
          <w:right w:w="0" w:type="dxa"/>
        </w:tblCellMar>
      </w:tblPr>
      <w:tblGrid>
        <w:gridCol w:w="4925"/>
        <w:gridCol w:w="60"/>
        <w:gridCol w:w="60"/>
        <w:gridCol w:w="800"/>
        <w:gridCol w:w="75"/>
      </w:tblGrid>
      <w:tr>
        <w:trPr/>
        <w:tc>
          <w:tcPr>
            <w:tcW w:w="4925" w:type="dxa"/>
            <w:tcBorders/>
            <w:shd w:fill="CCEEFF" w:val="clear"/>
            <w:vAlign w:val="center"/>
          </w:tcPr>
          <w:p>
            <w:pPr>
              <w:pStyle w:val="TableContents"/>
              <w:bidi w:val="0"/>
              <w:spacing w:before="0" w:after="283"/>
              <w:jc w:val="left"/>
              <w:rPr/>
            </w:pPr>
            <w:r>
              <w:rPr/>
              <w:t>Restricted shares 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6" w:name="xdx_984_ecustom--SharebasedCompensationA"/>
            <w:bookmarkEnd w:id="1086"/>
          </w:p>
        </w:tc>
        <w:tc>
          <w:tcPr>
            <w:tcW w:w="800" w:type="dxa"/>
            <w:tcBorders/>
            <w:shd w:fill="CCEEFF" w:val="clear"/>
            <w:vAlign w:val="center"/>
          </w:tcPr>
          <w:p>
            <w:pPr>
              <w:pStyle w:val="TableContents"/>
              <w:bidi w:val="0"/>
              <w:spacing w:before="0" w:after="283"/>
              <w:jc w:val="right"/>
              <w:rPr/>
            </w:pPr>
            <w:r>
              <w:rPr/>
              <w:t>678,679</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87" w:name="xdx_98F_eus-gaap--ShareBasedCompensation"/>
            <w:bookmarkEnd w:id="1087"/>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Total restricted shares 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88" w:name="xdx_98E_ecustom--SharebasedCompensationA"/>
            <w:bookmarkEnd w:id="1088"/>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678,679</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Comprised of: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Vested restricted shares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9" w:name="xdx_983_ecustom--ShareBasedCompensationA"/>
            <w:bookmarkEnd w:id="1089"/>
          </w:p>
        </w:tc>
        <w:tc>
          <w:tcPr>
            <w:tcW w:w="800" w:type="dxa"/>
            <w:tcBorders/>
            <w:shd w:fill="FFFFFF" w:val="clear"/>
            <w:vAlign w:val="center"/>
          </w:tcPr>
          <w:p>
            <w:pPr>
              <w:pStyle w:val="TableContents"/>
              <w:bidi w:val="0"/>
              <w:spacing w:before="0" w:after="283"/>
              <w:jc w:val="right"/>
              <w:rPr/>
            </w:pPr>
            <w:r>
              <w:rPr/>
              <w:t>678,679</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Unvested restricted shares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0" w:name="xdx_98D_ecustom--ShareBasedCompensationA"/>
            <w:bookmarkEnd w:id="1090"/>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1" w:name="xdx_980_ecustom--ShareBasedCompensationA"/>
            <w:bookmarkEnd w:id="1091"/>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678,679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92" w:name="xdx_8A4_zPCPXg0OKGdc"/>
      <w:bookmarkEnd w:id="109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BioSig AI Sciences,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 (BioSig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93" w:name="xdx_894_ecustom--ScheduleOfOutstandingWa"/>
      <w:bookmarkEnd w:id="1093"/>
      <w:r>
        <w:rPr>
          <w:rFonts w:ascii="Times New Roman;Times;Serif" w:hAnsi="Times New Roman;Times;Serif"/>
          <w:b w:val="false"/>
          <w:i w:val="false"/>
          <w:caps w:val="false"/>
          <w:smallCaps w:val="false"/>
          <w:sz w:val="20"/>
        </w:rPr>
        <w:t>The following table summarizes information with respect to outstanding warrants to purchase common stock of BioSig AI at June 30, 2026:</w:t>
      </w:r>
    </w:p>
    <w:p>
      <w:pPr>
        <w:pStyle w:val="TextBody"/>
        <w:bidi w:val="0"/>
        <w:spacing w:before="0" w:after="0"/>
        <w:jc w:val="center"/>
        <w:rPr>
          <w:caps w:val="false"/>
          <w:smallCaps w:val="false"/>
        </w:rPr>
      </w:pPr>
      <w:r>
        <w:rPr>
          <w:caps w:val="false"/>
          <w:smallCaps w:val="false"/>
        </w:rPr>
        <w:t> </w:t>
      </w:r>
      <w:bookmarkStart w:id="1094" w:name="xdx_8BA_zL82gdtQA9nj"/>
      <w:bookmarkEnd w:id="1094"/>
      <w:r>
        <w:rPr>
          <w:rFonts w:ascii="Times New Roman;Times;Serif" w:hAnsi="Times New Roman;Times;Serif"/>
          <w:b w:val="false"/>
          <w:i w:val="false"/>
          <w:caps w:val="false"/>
          <w:smallCaps w:val="false"/>
          <w:sz w:val="20"/>
        </w:rPr>
        <w:t>SCHEDULE OF OUTSTANDING TO WARRANTS</w:t>
      </w:r>
    </w:p>
    <w:tbl>
      <w:tblPr>
        <w:tblW w:w="3885" w:type="dxa"/>
        <w:jc w:val="left"/>
        <w:tblInd w:w="0" w:type="dxa"/>
        <w:tblLayout w:type="fixed"/>
        <w:tblCellMar>
          <w:top w:w="0" w:type="dxa"/>
          <w:left w:w="0" w:type="dxa"/>
          <w:bottom w:w="0" w:type="dxa"/>
          <w:right w:w="0" w:type="dxa"/>
        </w:tblCellMar>
      </w:tblPr>
      <w:tblGrid>
        <w:gridCol w:w="231"/>
        <w:gridCol w:w="659"/>
        <w:gridCol w:w="60"/>
        <w:gridCol w:w="60"/>
        <w:gridCol w:w="89"/>
        <w:gridCol w:w="1191"/>
        <w:gridCol w:w="60"/>
        <w:gridCol w:w="60"/>
        <w:gridCol w:w="1475"/>
      </w:tblGrid>
      <w:tr>
        <w:trPr/>
        <w:tc>
          <w:tcPr>
            <w:tcW w:w="89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b/>
              </w:rPr>
            </w:pPr>
            <w:r>
              <w:rPr>
                <w:b/>
              </w:rPr>
              <w:t>Expiration</w:t>
            </w:r>
          </w:p>
        </w:tc>
      </w:tr>
      <w:tr>
        <w:trPr/>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b/>
              </w:rPr>
            </w:pPr>
            <w:r>
              <w:rPr>
                <w:b/>
              </w:rPr>
              <w:t>Date</w:t>
            </w:r>
          </w:p>
        </w:tc>
      </w:tr>
      <w:tr>
        <w:trPr/>
        <w:tc>
          <w:tcPr>
            <w:tcW w:w="231" w:type="dxa"/>
            <w:tcBorders/>
            <w:shd w:fill="CCEEFF" w:val="clear"/>
            <w:vAlign w:val="center"/>
          </w:tcPr>
          <w:p>
            <w:pPr>
              <w:pStyle w:val="TableContents"/>
              <w:bidi w:val="0"/>
              <w:spacing w:before="0" w:after="283"/>
              <w:jc w:val="left"/>
              <w:rPr/>
            </w:pPr>
            <w:r>
              <w:rPr/>
              <w:t>$</w:t>
            </w:r>
            <w:bookmarkStart w:id="1095" w:name="xdx_98C_eus-gaap--ClassOfWarrantOrRightE"/>
            <w:bookmarkEnd w:id="1095"/>
          </w:p>
        </w:tc>
        <w:tc>
          <w:tcPr>
            <w:tcW w:w="659"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1096" w:name="xdx_980_ecustom--ClassOfWarrantsOrRightO"/>
            <w:bookmarkEnd w:id="1096"/>
          </w:p>
        </w:tc>
        <w:tc>
          <w:tcPr>
            <w:tcW w:w="1191" w:type="dxa"/>
            <w:tcBorders/>
            <w:shd w:fill="CCEEFF" w:val="clear"/>
            <w:vAlign w:val="center"/>
          </w:tcPr>
          <w:p>
            <w:pPr>
              <w:pStyle w:val="TableContents"/>
              <w:bidi w:val="0"/>
              <w:spacing w:before="0" w:after="283"/>
              <w:jc w:val="right"/>
              <w:rPr/>
            </w:pPr>
            <w:r>
              <w:rPr/>
              <w:t>130,500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7" w:name="xdx_988_ecustom--WarrantsExpirationDateD"/>
            <w:bookmarkEnd w:id="1097"/>
          </w:p>
        </w:tc>
        <w:tc>
          <w:tcPr>
            <w:tcW w:w="1475" w:type="dxa"/>
            <w:tcBorders/>
            <w:shd w:fill="CCEEFF" w:val="clear"/>
            <w:vAlign w:val="center"/>
          </w:tcPr>
          <w:p>
            <w:pPr>
              <w:pStyle w:val="TableContents"/>
              <w:bidi w:val="0"/>
              <w:spacing w:before="0" w:after="283"/>
              <w:jc w:val="right"/>
              <w:rPr/>
            </w:pPr>
            <w:r>
              <w:rPr/>
              <w:t>June-July 2028</w:t>
            </w:r>
          </w:p>
        </w:tc>
      </w:tr>
    </w:tbl>
    <w:p>
      <w:pPr>
        <w:pStyle w:val="TextBody"/>
        <w:bidi w:val="0"/>
        <w:spacing w:before="0" w:after="0"/>
        <w:jc w:val="center"/>
        <w:rPr>
          <w:caps w:val="false"/>
          <w:smallCaps w:val="false"/>
        </w:rPr>
      </w:pPr>
      <w:bookmarkStart w:id="1098" w:name="xdx_8AF_zVitF8pclAVd"/>
      <w:bookmarkEnd w:id="109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99" w:name="xdx_807_eus-gaap--MinorityInterestDisclo"/>
      <w:bookmarkEnd w:id="1099"/>
      <w:r>
        <w:rPr>
          <w:rFonts w:ascii="Times New Roman;Times;Serif" w:hAnsi="Times New Roman;Times;Serif"/>
          <w:b/>
          <w:i w:val="false"/>
          <w:caps w:val="false"/>
          <w:smallCaps w:val="false"/>
          <w:sz w:val="20"/>
        </w:rPr>
        <w:t xml:space="preserve">NOTE 18 – </w:t>
      </w:r>
      <w:bookmarkStart w:id="1100" w:name="xdx_824_zThKYNQ3RZGj"/>
      <w:bookmarkEnd w:id="1100"/>
      <w:r>
        <w:rPr>
          <w:rFonts w:ascii="Times New Roman;Times;Serif" w:hAnsi="Times New Roman;Times;Serif"/>
          <w:b/>
          <w:i w:val="false"/>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held a majority interest in ViralClear of approximately </w:t>
      </w:r>
      <w:bookmarkStart w:id="1101" w:name="xdx_90A_eus-gaap--EquityMethodInvestment"/>
      <w:bookmarkStart w:id="1102" w:name="xdx_907_eus-gaap--EquityMethodInvestment"/>
      <w:bookmarkEnd w:id="1101"/>
      <w:bookmarkEnd w:id="1102"/>
      <w:r>
        <w:rPr>
          <w:rFonts w:ascii="Times New Roman;Times;Serif" w:hAnsi="Times New Roman;Times;Serif"/>
          <w:b w:val="false"/>
          <w:i w:val="false"/>
          <w:caps w:val="false"/>
          <w:smallCaps w:val="false"/>
          <w:sz w:val="20"/>
        </w:rPr>
        <w:t xml:space="preserve">70% for both periods, and a majority interest in BioSig AI of approximately </w:t>
      </w:r>
      <w:bookmarkStart w:id="1103" w:name="xdx_90C_eus-gaap--EquityMethodInvestment"/>
      <w:bookmarkStart w:id="1104" w:name="xdx_905_eus-gaap--EquityMethodInvestment"/>
      <w:bookmarkEnd w:id="1103"/>
      <w:bookmarkEnd w:id="1104"/>
      <w:r>
        <w:rPr>
          <w:rFonts w:ascii="Times New Roman;Times;Serif" w:hAnsi="Times New Roman;Times;Serif"/>
          <w:b w:val="false"/>
          <w:i w:val="false"/>
          <w:caps w:val="false"/>
          <w:smallCaps w:val="false"/>
          <w:sz w:val="20"/>
        </w:rPr>
        <w:t xml:space="preserve">84% for both periods. As of June 30, 2026, the Company consolidated Streamex Ltd. as a variable interest entity, with noncontrolling interest holders (consisting of Metalayer, and eight external tokenholders including three related-party officers) holding approximately </w:t>
      </w:r>
      <w:bookmarkStart w:id="1105" w:name="xdx_901_ecustom--VariableInterestPercent"/>
      <w:bookmarkEnd w:id="1105"/>
      <w:r>
        <w:rPr>
          <w:rFonts w:ascii="Times New Roman;Times;Serif" w:hAnsi="Times New Roman;Times;Serif"/>
          <w:b w:val="false"/>
          <w:i w:val="false"/>
          <w:caps w:val="false"/>
          <w:smallCaps w:val="false"/>
          <w:sz w:val="20"/>
        </w:rPr>
        <w:t xml:space="preserve">9% of the outstanding GLDY tokens. See Note 12, Streamex Ltd. (VIE) and Consolidation, for additional information. For purposes of attributing net income (loss) to noncontrolling interests, the ownership percentages used for Streamex Ltd. reflect the time-weighted average ownership interests outstanding during each reporting period in accordance with ASC 810. Accordingly, the time-weighted percentages of approximately </w:t>
      </w:r>
      <w:bookmarkStart w:id="1106" w:name="xdx_90C_ecustom--VariableInterestPercent"/>
      <w:bookmarkEnd w:id="1106"/>
      <w:r>
        <w:rPr>
          <w:rFonts w:ascii="Times New Roman;Times;Serif" w:hAnsi="Times New Roman;Times;Serif"/>
          <w:b w:val="false"/>
          <w:i w:val="false"/>
          <w:caps w:val="false"/>
          <w:smallCaps w:val="false"/>
          <w:sz w:val="20"/>
        </w:rPr>
        <w:t xml:space="preserve">4.0250% for the second quarter and approximately </w:t>
      </w:r>
      <w:bookmarkStart w:id="1107" w:name="xdx_90B_ecustom--VariableInterestPercent"/>
      <w:bookmarkEnd w:id="1107"/>
      <w:r>
        <w:rPr>
          <w:rFonts w:ascii="Times New Roman;Times;Serif" w:hAnsi="Times New Roman;Times;Serif"/>
          <w:b w:val="false"/>
          <w:i w:val="false"/>
          <w:caps w:val="false"/>
          <w:smallCaps w:val="false"/>
          <w:sz w:val="20"/>
        </w:rPr>
        <w:t xml:space="preserve">0.2102% for the first quarter differ from the approximately </w:t>
      </w:r>
      <w:bookmarkStart w:id="1108" w:name="xdx_905_ecustom--VariableInterestPercent"/>
      <w:bookmarkEnd w:id="1108"/>
      <w:r>
        <w:rPr>
          <w:rFonts w:ascii="Times New Roman;Times;Serif" w:hAnsi="Times New Roman;Times;Serif"/>
          <w:b w:val="false"/>
          <w:i w:val="false"/>
          <w:caps w:val="false"/>
          <w:smallCaps w:val="false"/>
          <w:sz w:val="20"/>
        </w:rPr>
        <w:t>9% ownership interest held by noncontrolling interest holders as of June 30, 2026 because substantially all noncontrolling interests were admitted during 2026, including significant ownership interests issued during the latter part of the second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ViralClear, BioSig AI and Streamex Ltd. noncontrolling loss attributable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09" w:name="xdx_893_ecustom--ScheduleOfNonControllin"/>
      <w:bookmarkEnd w:id="1109"/>
      <w:r>
        <w:rPr>
          <w:rFonts w:ascii="Times New Roman;Times;Serif" w:hAnsi="Times New Roman;Times;Serif"/>
          <w:b w:val="false"/>
          <w:i w:val="false"/>
          <w:caps w:val="false"/>
          <w:smallCaps w:val="false"/>
          <w:sz w:val="20"/>
        </w:rPr>
        <w:t>Net income (loss) attributable to noncontrolling interests for the three months ended June 30, 2026:</w:t>
      </w:r>
    </w:p>
    <w:p>
      <w:pPr>
        <w:pStyle w:val="TextBody"/>
        <w:bidi w:val="0"/>
        <w:spacing w:before="0" w:after="0"/>
        <w:ind w:left="0" w:right="0" w:hanging="0"/>
        <w:jc w:val="both"/>
        <w:rPr>
          <w:caps w:val="false"/>
          <w:smallCaps w:val="false"/>
        </w:rPr>
      </w:pPr>
      <w:r>
        <w:rPr>
          <w:caps w:val="false"/>
          <w:smallCaps w:val="false"/>
        </w:rPr>
        <w:t> </w:t>
      </w:r>
      <w:bookmarkStart w:id="1110" w:name="xdx_8B4_zzaHApxNSYtk"/>
      <w:bookmarkEnd w:id="1110"/>
      <w:r>
        <w:rPr>
          <w:rFonts w:ascii="Times New Roman;Times;Serif" w:hAnsi="Times New Roman;Times;Serif"/>
          <w:b w:val="false"/>
          <w:i w:val="false"/>
          <w:caps w:val="false"/>
          <w:smallCaps w:val="false"/>
          <w:sz w:val="20"/>
        </w:rPr>
        <w:t>SCHEDULE OF NON-CONTROLLING INTEREST</w:t>
      </w:r>
    </w:p>
    <w:tbl>
      <w:tblPr>
        <w:tblW w:w="10205" w:type="dxa"/>
        <w:jc w:val="left"/>
        <w:tblInd w:w="0" w:type="dxa"/>
        <w:tblLayout w:type="fixed"/>
        <w:tblCellMar>
          <w:top w:w="0" w:type="dxa"/>
          <w:left w:w="0" w:type="dxa"/>
          <w:bottom w:w="0" w:type="dxa"/>
          <w:right w:w="0" w:type="dxa"/>
        </w:tblCellMar>
      </w:tblPr>
      <w:tblGrid>
        <w:gridCol w:w="4972"/>
        <w:gridCol w:w="60"/>
        <w:gridCol w:w="140"/>
        <w:gridCol w:w="1006"/>
        <w:gridCol w:w="215"/>
        <w:gridCol w:w="60"/>
        <w:gridCol w:w="342"/>
        <w:gridCol w:w="636"/>
        <w:gridCol w:w="215"/>
        <w:gridCol w:w="60"/>
        <w:gridCol w:w="286"/>
        <w:gridCol w:w="1144"/>
        <w:gridCol w:w="215"/>
        <w:gridCol w:w="60"/>
        <w:gridCol w:w="196"/>
        <w:gridCol w:w="364"/>
        <w:gridCol w:w="234"/>
      </w:tblGrid>
      <w:tr>
        <w:trPr/>
        <w:tc>
          <w:tcPr>
            <w:tcW w:w="49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1" w:name="xdx_490_20260401__20260630__srt--Consoli"/>
            <w:bookmarkEnd w:id="1111"/>
          </w:p>
        </w:tc>
        <w:tc>
          <w:tcPr>
            <w:tcW w:w="11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ViralClear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2" w:name="xdx_49A_20260401__20260630__srt--Consoli"/>
            <w:bookmarkEnd w:id="1112"/>
          </w:p>
        </w:tc>
        <w:tc>
          <w:tcPr>
            <w:tcW w:w="9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BioSig AI</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3" w:name="xdx_498_20260401__20260630__srt--Consoli"/>
            <w:bookmarkEnd w:id="1113"/>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Streamex Ltd.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4" w:name="xdx_49B_20260401__20260630_zhaCAdP4j2y"/>
            <w:bookmarkEnd w:id="1114"/>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234" w:type="dxa"/>
            <w:tcBorders/>
            <w:vAlign w:val="center"/>
          </w:tcPr>
          <w:p>
            <w:pPr>
              <w:pStyle w:val="TableContents"/>
              <w:bidi w:val="0"/>
              <w:spacing w:before="0" w:after="283"/>
              <w:jc w:val="left"/>
              <w:rPr/>
            </w:pPr>
            <w:r>
              <w:rPr/>
              <w:t> </w:t>
            </w:r>
          </w:p>
        </w:tc>
      </w:tr>
      <w:tr>
        <w:trPr/>
        <w:tc>
          <w:tcPr>
            <w:tcW w:w="4972"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           </w:t>
            </w:r>
            <w:bookmarkStart w:id="1115" w:name="xdx_904_ecustom--NetIncomeLossOfNonContr"/>
            <w:bookmarkEnd w:id="1115"/>
            <w:r>
              <w:rPr>
                <w:rFonts w:ascii="Times New Roman;Times;Serif" w:hAnsi="Times New Roman;Times;Serif"/>
                <w:sz w:val="20"/>
              </w:rPr>
              <w:t>-</w:t>
            </w:r>
            <w:r>
              <w:rPr/>
              <w:t>  </w:t>
            </w:r>
            <w:r>
              <w:rPr>
                <w:rFonts w:ascii="Times New Roman;Times;Serif" w:hAnsi="Times New Roman;Times;Serif"/>
                <w:sz w:val="20"/>
              </w:rPr>
              <w:t xml:space="preserve">*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bookmarkStart w:id="1116" w:name="xdx_903_ecustom--NetIncomeLossOfNonContr"/>
            <w:bookmarkEnd w:id="1116"/>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     </w:t>
            </w:r>
            <w:bookmarkStart w:id="1117" w:name="xdx_90A_ecustom--NetIncomeLossOfNonContr"/>
            <w:bookmarkEnd w:id="1117"/>
            <w:r>
              <w:rPr/>
              <w:t>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bookmarkStart w:id="1118" w:name="xdx_902_ecustom--NetIncomeLossOfNonContr"/>
            <w:bookmarkEnd w:id="1118"/>
            <w:r>
              <w:rPr/>
              <w:t>15</w:t>
            </w:r>
          </w:p>
        </w:tc>
        <w:tc>
          <w:tcPr>
            <w:tcW w:w="234" w:type="dxa"/>
            <w:tcBorders/>
            <w:shd w:fill="CCEEFF" w:val="clear"/>
            <w:vAlign w:val="center"/>
          </w:tcPr>
          <w:p>
            <w:pPr>
              <w:pStyle w:val="TableContents"/>
              <w:bidi w:val="0"/>
              <w:spacing w:before="0" w:after="283"/>
              <w:jc w:val="left"/>
              <w:rPr/>
            </w:pPr>
            <w:r>
              <w:rPr/>
              <w:t> </w:t>
            </w:r>
            <w:bookmarkStart w:id="1119" w:name="xdx_40E_ecustom--AverageNoncontrollingIn"/>
            <w:bookmarkEnd w:id="1119"/>
          </w:p>
        </w:tc>
      </w:tr>
      <w:tr>
        <w:trPr/>
        <w:tc>
          <w:tcPr>
            <w:tcW w:w="4972" w:type="dxa"/>
            <w:tcBorders/>
            <w:shd w:fill="FFFFFF" w:val="clear"/>
            <w:vAlign w:val="center"/>
          </w:tcPr>
          <w:p>
            <w:pPr>
              <w:pStyle w:val="TableContents"/>
              <w:bidi w:val="0"/>
              <w:spacing w:before="0" w:after="283"/>
              <w:jc w:val="left"/>
              <w:rPr/>
            </w:pPr>
            <w:r>
              <w:rPr/>
              <w:t>Noncontrolling ownership percentage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4"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234" w:type="dxa"/>
            <w:tcBorders/>
            <w:shd w:fill="FFFFFF" w:val="clear"/>
            <w:vAlign w:val="center"/>
          </w:tcPr>
          <w:p>
            <w:pPr>
              <w:pStyle w:val="TableContents"/>
              <w:bidi w:val="0"/>
              <w:spacing w:before="0" w:after="283"/>
              <w:jc w:val="left"/>
              <w:rPr/>
            </w:pPr>
            <w:r>
              <w:rPr/>
              <w:t>%</w:t>
            </w:r>
          </w:p>
        </w:tc>
      </w:tr>
      <w:tr>
        <w:trPr/>
        <w:tc>
          <w:tcPr>
            <w:tcW w:w="4972" w:type="dxa"/>
            <w:tcBorders/>
            <w:shd w:fill="CCEEFF" w:val="clear"/>
            <w:vAlign w:val="center"/>
          </w:tcPr>
          <w:p>
            <w:pPr>
              <w:pStyle w:val="TableContents"/>
              <w:bidi w:val="0"/>
              <w:spacing w:before="0" w:after="283"/>
              <w:jc w:val="left"/>
              <w:rPr/>
            </w:pPr>
            <w:r>
              <w:rPr/>
              <w:t>Net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rFonts w:ascii="Times New Roman;Times;Serif" w:hAnsi="Times New Roman;Times;Serif"/>
                <w:sz w:val="20"/>
              </w:rPr>
            </w:pPr>
            <w:bookmarkStart w:id="1120" w:name="xdx_909_eus-gaap--NetIncomeLossAttributa"/>
            <w:bookmarkEnd w:id="1120"/>
            <w:r>
              <w:rPr>
                <w:rFonts w:ascii="Times New Roman;Times;Serif" w:hAnsi="Times New Roman;Times;Serif"/>
                <w:sz w:val="20"/>
              </w:rPr>
              <w:t xml:space="preserve">- *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bookmarkStart w:id="1121" w:name="xdx_905_eus-gaap--NetIncomeLossAttributa"/>
            <w:bookmarkEnd w:id="1121"/>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bookmarkStart w:id="1122" w:name="xdx_902_eus-gaap--NetIncomeLossAttributa"/>
            <w:bookmarkEnd w:id="1122"/>
            <w:r>
              <w:rPr/>
              <w:t>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bookmarkStart w:id="1123" w:name="xdx_907_eus-gaap--NetIncomeLossAttributa"/>
            <w:bookmarkEnd w:id="1123"/>
            <w:r>
              <w:rPr/>
              <w:t>1</w:t>
            </w:r>
          </w:p>
        </w:tc>
        <w:tc>
          <w:tcPr>
            <w:tcW w:w="23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125"/>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24" w:name="xdx_F03_zWICNGCFXFG6"/>
            <w:bookmarkEnd w:id="1124"/>
            <w:r>
              <w:rPr>
                <w:rFonts w:ascii="Times New Roman;Times;Serif" w:hAnsi="Times New Roman;Times;Serif"/>
                <w:b w:val="false"/>
                <w:i w:val="false"/>
                <w:caps w:val="false"/>
                <w:smallCaps w:val="false"/>
                <w:sz w:val="20"/>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25" w:name="xdx_F16_zwY5HOiHRFd5"/>
            <w:bookmarkEnd w:id="1125"/>
            <w:r>
              <w:rPr>
                <w:rFonts w:ascii="Times New Roman;Times;Serif" w:hAnsi="Times New Roman;Times;Serif"/>
                <w:b w:val="false"/>
                <w:i w:val="false"/>
                <w:caps w:val="false"/>
                <w:smallCaps w:val="false"/>
                <w:sz w:val="20"/>
              </w:rPr>
              <w:t>Less than $0.5 thousand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interests for the three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95"/>
        <w:gridCol w:w="60"/>
        <w:gridCol w:w="149"/>
        <w:gridCol w:w="966"/>
        <w:gridCol w:w="215"/>
        <w:gridCol w:w="60"/>
        <w:gridCol w:w="158"/>
        <w:gridCol w:w="839"/>
        <w:gridCol w:w="215"/>
        <w:gridCol w:w="60"/>
        <w:gridCol w:w="197"/>
        <w:gridCol w:w="1238"/>
        <w:gridCol w:w="60"/>
        <w:gridCol w:w="60"/>
        <w:gridCol w:w="140"/>
        <w:gridCol w:w="560"/>
        <w:gridCol w:w="233"/>
      </w:tblGrid>
      <w:tr>
        <w:trPr/>
        <w:tc>
          <w:tcPr>
            <w:tcW w:w="4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6" w:name="xdx_49D_20250401__20250630__srt--Consoli"/>
            <w:bookmarkEnd w:id="1126"/>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ViralClear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7" w:name="xdx_499_20250401__20250630__srt--Consoli"/>
            <w:bookmarkEnd w:id="1127"/>
          </w:p>
        </w:tc>
        <w:tc>
          <w:tcPr>
            <w:tcW w:w="9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BioSig AI</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8" w:name="xdx_49A_20250401__20250630__srt--Consoli"/>
            <w:bookmarkEnd w:id="1128"/>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Streamex Ltd.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9" w:name="xdx_49F_20250401__20250630_zD2VcSofy9F4"/>
            <w:bookmarkEnd w:id="1129"/>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233" w:type="dxa"/>
            <w:tcBorders/>
            <w:vAlign w:val="center"/>
          </w:tcPr>
          <w:p>
            <w:pPr>
              <w:pStyle w:val="TableContents"/>
              <w:bidi w:val="0"/>
              <w:spacing w:before="0" w:after="283"/>
              <w:jc w:val="left"/>
              <w:rPr/>
            </w:pPr>
            <w:r>
              <w:rPr/>
              <w:t> </w:t>
            </w:r>
          </w:p>
        </w:tc>
      </w:tr>
      <w:tr>
        <w:trPr/>
        <w:tc>
          <w:tcPr>
            <w:tcW w:w="499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         </w:t>
            </w:r>
            <w:bookmarkStart w:id="1130" w:name="xdx_906_ecustom--NetIncomeLossOfNonContr"/>
            <w:bookmarkEnd w:id="1130"/>
            <w:r>
              <w:rPr>
                <w:rFonts w:ascii="Times New Roman;Times;Serif" w:hAnsi="Times New Roman;Times;Serif"/>
                <w:sz w:val="20"/>
              </w:rPr>
              <w:t>-</w:t>
            </w:r>
            <w:r>
              <w:rPr/>
              <w:t>   </w:t>
            </w:r>
            <w:r>
              <w:rPr>
                <w:rFonts w:ascii="Times New Roman;Times;Serif" w:hAnsi="Times New Roman;Times;Serif"/>
                <w:sz w:val="20"/>
              </w:rPr>
              <w:t xml:space="preserve">*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        </w:t>
            </w:r>
            <w:bookmarkStart w:id="1131" w:name="xdx_903_ecustom--NetIncomeLossOfNonContr"/>
            <w:bookmarkEnd w:id="1131"/>
            <w:r>
              <w:rPr/>
              <w:t>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             </w:t>
            </w:r>
            <w:bookmarkStart w:id="1132" w:name="xdx_90A_ecustom--NetIncomeLossOfNonContr"/>
            <w:bookmarkEnd w:id="1132"/>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     </w:t>
            </w:r>
            <w:bookmarkStart w:id="1133" w:name="xdx_90D_ecustom--NetIncomeLossOfNonContr"/>
            <w:bookmarkEnd w:id="1133"/>
            <w:r>
              <w:rPr/>
              <w:t>23</w:t>
            </w:r>
          </w:p>
        </w:tc>
        <w:tc>
          <w:tcPr>
            <w:tcW w:w="233" w:type="dxa"/>
            <w:tcBorders/>
            <w:shd w:fill="CCEEFF" w:val="clear"/>
            <w:vAlign w:val="center"/>
          </w:tcPr>
          <w:p>
            <w:pPr>
              <w:pStyle w:val="TableContents"/>
              <w:bidi w:val="0"/>
              <w:spacing w:before="0" w:after="283"/>
              <w:jc w:val="left"/>
              <w:rPr/>
            </w:pPr>
            <w:r>
              <w:rPr/>
              <w:t> </w:t>
            </w:r>
            <w:bookmarkStart w:id="1134" w:name="xdx_40E_ecustom--AverageNoncontrollingIn"/>
            <w:bookmarkEnd w:id="1134"/>
          </w:p>
        </w:tc>
      </w:tr>
      <w:tr>
        <w:trPr/>
        <w:tc>
          <w:tcPr>
            <w:tcW w:w="4995" w:type="dxa"/>
            <w:tcBorders/>
            <w:shd w:fill="FFFFFF" w:val="clear"/>
            <w:vAlign w:val="center"/>
          </w:tcPr>
          <w:p>
            <w:pPr>
              <w:pStyle w:val="TableContents"/>
              <w:bidi w:val="0"/>
              <w:spacing w:before="0" w:after="283"/>
              <w:jc w:val="left"/>
              <w:rPr/>
            </w:pPr>
            <w:r>
              <w:rPr/>
              <w:t>Noncontrolling ownership percentage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233" w:type="dxa"/>
            <w:tcBorders/>
            <w:shd w:fill="FFFFFF" w:val="clear"/>
            <w:vAlign w:val="center"/>
          </w:tcPr>
          <w:p>
            <w:pPr>
              <w:pStyle w:val="TableContents"/>
              <w:bidi w:val="0"/>
              <w:spacing w:before="0" w:after="283"/>
              <w:jc w:val="left"/>
              <w:rPr/>
            </w:pPr>
            <w:r>
              <w:rPr/>
              <w:t>%</w:t>
            </w:r>
          </w:p>
        </w:tc>
      </w:tr>
      <w:tr>
        <w:trPr/>
        <w:tc>
          <w:tcPr>
            <w:tcW w:w="4995" w:type="dxa"/>
            <w:tcBorders/>
            <w:shd w:fill="CCEEFF" w:val="clear"/>
            <w:vAlign w:val="center"/>
          </w:tcPr>
          <w:p>
            <w:pPr>
              <w:pStyle w:val="TableContents"/>
              <w:bidi w:val="0"/>
              <w:spacing w:before="0" w:after="283"/>
              <w:jc w:val="left"/>
              <w:rPr/>
            </w:pPr>
            <w:r>
              <w:rPr/>
              <w:t>Net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rFonts w:ascii="Times New Roman;Times;Serif" w:hAnsi="Times New Roman;Times;Serif"/>
                <w:sz w:val="20"/>
              </w:rPr>
            </w:pPr>
            <w:bookmarkStart w:id="1135" w:name="xdx_907_eus-gaap--NetIncomeLossAttributa"/>
            <w:bookmarkEnd w:id="1135"/>
            <w:r>
              <w:rPr>
                <w:rFonts w:ascii="Times New Roman;Times;Serif" w:hAnsi="Times New Roman;Times;Serif"/>
                <w:sz w:val="20"/>
              </w:rPr>
              <w:t xml:space="preserve">-*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bookmarkStart w:id="1136" w:name="xdx_90A_eus-gaap--NetIncomeLossAttributa"/>
            <w:bookmarkEnd w:id="1136"/>
            <w:r>
              <w:rPr/>
              <w:t>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bookmarkStart w:id="1137" w:name="xdx_90D_eus-gaap--NetIncomeLossAttributa"/>
            <w:bookmarkEnd w:id="113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bookmarkStart w:id="1138" w:name="xdx_909_eus-gaap--NetIncomeLossAttributa"/>
            <w:bookmarkEnd w:id="1138"/>
            <w:r>
              <w:rPr/>
              <w:t>4</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125"/>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39" w:name="xdx_F0A_zOTCBJlvGeIf"/>
            <w:bookmarkEnd w:id="1139"/>
            <w:r>
              <w:rPr>
                <w:rFonts w:ascii="Times New Roman;Times;Serif" w:hAnsi="Times New Roman;Times;Serif"/>
                <w:b w:val="false"/>
                <w:i w:val="false"/>
                <w:caps w:val="false"/>
                <w:smallCaps w:val="false"/>
                <w:sz w:val="20"/>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40" w:name="xdx_F1E_zJp23fqtmMU1"/>
            <w:bookmarkEnd w:id="1140"/>
            <w:r>
              <w:rPr>
                <w:rFonts w:ascii="Times New Roman;Times;Serif" w:hAnsi="Times New Roman;Times;Serif"/>
                <w:b w:val="false"/>
                <w:i w:val="false"/>
                <w:caps w:val="false"/>
                <w:smallCaps w:val="false"/>
                <w:sz w:val="20"/>
              </w:rPr>
              <w:t>Less than $0.5 thousand</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interests for the six months ended June 30, 2026:</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9"/>
        <w:gridCol w:w="60"/>
        <w:gridCol w:w="390"/>
        <w:gridCol w:w="725"/>
        <w:gridCol w:w="215"/>
        <w:gridCol w:w="60"/>
        <w:gridCol w:w="345"/>
        <w:gridCol w:w="642"/>
        <w:gridCol w:w="215"/>
        <w:gridCol w:w="60"/>
        <w:gridCol w:w="338"/>
        <w:gridCol w:w="1103"/>
        <w:gridCol w:w="95"/>
        <w:gridCol w:w="60"/>
        <w:gridCol w:w="140"/>
        <w:gridCol w:w="455"/>
        <w:gridCol w:w="233"/>
      </w:tblGrid>
      <w:tr>
        <w:trPr/>
        <w:tc>
          <w:tcPr>
            <w:tcW w:w="50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1" w:name="xdx_497_20260101__20260630__srt--Consoli"/>
            <w:bookmarkEnd w:id="1141"/>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ViralClear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2" w:name="xdx_49F_20260101__20260630__srt--Consoli"/>
            <w:bookmarkEnd w:id="1142"/>
          </w:p>
        </w:tc>
        <w:tc>
          <w:tcPr>
            <w:tcW w:w="9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BioSig AI</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3" w:name="xdx_49E_20260101__20260630__srt--Consoli"/>
            <w:bookmarkEnd w:id="1143"/>
          </w:p>
        </w:tc>
        <w:tc>
          <w:tcPr>
            <w:tcW w:w="14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Streamex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4" w:name="xdx_49C_20260101__20260630_zr0m5RHl89z"/>
            <w:bookmarkEnd w:id="1144"/>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233" w:type="dxa"/>
            <w:tcBorders/>
            <w:vAlign w:val="center"/>
          </w:tcPr>
          <w:p>
            <w:pPr>
              <w:pStyle w:val="TableContents"/>
              <w:bidi w:val="0"/>
              <w:spacing w:before="0" w:after="283"/>
              <w:jc w:val="left"/>
              <w:rPr/>
            </w:pPr>
            <w:r>
              <w:rPr/>
              <w:t> </w:t>
            </w:r>
          </w:p>
        </w:tc>
      </w:tr>
      <w:tr>
        <w:trPr/>
        <w:tc>
          <w:tcPr>
            <w:tcW w:w="5069"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bookmarkStart w:id="1145" w:name="xdx_90F_ecustom--NetIncomeLossOfNonContr"/>
            <w:bookmarkEnd w:id="1145"/>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642" w:type="dxa"/>
            <w:tcBorders/>
            <w:shd w:fill="CCEEFF" w:val="clear"/>
            <w:vAlign w:val="center"/>
          </w:tcPr>
          <w:p>
            <w:pPr>
              <w:pStyle w:val="TableContents"/>
              <w:bidi w:val="0"/>
              <w:spacing w:before="0" w:after="283"/>
              <w:jc w:val="right"/>
              <w:rPr/>
            </w:pPr>
            <w:bookmarkStart w:id="1146" w:name="xdx_90C_ecustom--NetIncomeLossOfNonContr"/>
            <w:bookmarkEnd w:id="1146"/>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bookmarkStart w:id="1147" w:name="xdx_90A_ecustom--NetIncomeLossOfNonContr"/>
            <w:bookmarkEnd w:id="1147"/>
            <w:r>
              <w:rPr/>
              <w:t>(140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bookmarkStart w:id="1148" w:name="xdx_909_ecustom--NetIncomeLossOfNonContr"/>
            <w:bookmarkEnd w:id="1148"/>
            <w:r>
              <w:rPr/>
              <w:t>(140</w:t>
            </w:r>
          </w:p>
        </w:tc>
        <w:tc>
          <w:tcPr>
            <w:tcW w:w="233" w:type="dxa"/>
            <w:tcBorders/>
            <w:shd w:fill="CCEEFF" w:val="clear"/>
            <w:vAlign w:val="center"/>
          </w:tcPr>
          <w:p>
            <w:pPr>
              <w:pStyle w:val="TableContents"/>
              <w:bidi w:val="0"/>
              <w:spacing w:before="0" w:after="283"/>
              <w:jc w:val="left"/>
              <w:rPr/>
            </w:pPr>
            <w:r>
              <w:rPr/>
              <w:t>)</w:t>
            </w:r>
            <w:bookmarkStart w:id="1149" w:name="xdx_40E_ecustom--AverageNoncontrollingIn"/>
            <w:bookmarkEnd w:id="1149"/>
          </w:p>
        </w:tc>
      </w:tr>
      <w:tr>
        <w:trPr/>
        <w:tc>
          <w:tcPr>
            <w:tcW w:w="5069" w:type="dxa"/>
            <w:tcBorders/>
            <w:shd w:fill="FFFFFF" w:val="clear"/>
            <w:vAlign w:val="center"/>
          </w:tcPr>
          <w:p>
            <w:pPr>
              <w:pStyle w:val="TableContents"/>
              <w:bidi w:val="0"/>
              <w:spacing w:before="0" w:after="283"/>
              <w:jc w:val="left"/>
              <w:rPr/>
            </w:pPr>
            <w:r>
              <w:rPr/>
              <w:t>Noncontrolling ownership percentage</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bookmarkStart w:id="1150" w:name="xdx_F20_zeSjnbGG6Iuk"/>
            <w:bookmarkEnd w:id="1150"/>
            <w:r>
              <w:rPr>
                <w:rFonts w:ascii="Times New Roman;Times;Serif" w:hAnsi="Times New Roman;Times;Serif"/>
                <w:sz w:val="20"/>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233" w:type="dxa"/>
            <w:tcBorders/>
            <w:shd w:fill="FFFFFF" w:val="clear"/>
            <w:vAlign w:val="center"/>
          </w:tcPr>
          <w:p>
            <w:pPr>
              <w:pStyle w:val="TableContents"/>
              <w:bidi w:val="0"/>
              <w:spacing w:before="0" w:after="283"/>
              <w:jc w:val="left"/>
              <w:rPr/>
            </w:pPr>
            <w:r>
              <w:rPr/>
              <w:t>%</w:t>
            </w:r>
          </w:p>
        </w:tc>
      </w:tr>
      <w:tr>
        <w:trPr/>
        <w:tc>
          <w:tcPr>
            <w:tcW w:w="5069" w:type="dxa"/>
            <w:tcBorders/>
            <w:shd w:fill="CCEEFF" w:val="clear"/>
            <w:vAlign w:val="center"/>
          </w:tcPr>
          <w:p>
            <w:pPr>
              <w:pStyle w:val="TableContents"/>
              <w:bidi w:val="0"/>
              <w:spacing w:before="0" w:after="283"/>
              <w:jc w:val="left"/>
              <w:rPr/>
            </w:pPr>
            <w:r>
              <w:rPr/>
              <w:t>Net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bookmarkStart w:id="1151" w:name="xdx_900_eus-gaap--NetIncomeLossAttributa"/>
            <w:bookmarkEnd w:id="1151"/>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642" w:type="dxa"/>
            <w:tcBorders/>
            <w:shd w:fill="CCEEFF" w:val="clear"/>
            <w:vAlign w:val="center"/>
          </w:tcPr>
          <w:p>
            <w:pPr>
              <w:pStyle w:val="TableContents"/>
              <w:bidi w:val="0"/>
              <w:spacing w:before="0" w:after="283"/>
              <w:jc w:val="right"/>
              <w:rPr/>
            </w:pPr>
            <w:bookmarkStart w:id="1152" w:name="xdx_907_eus-gaap--NetIncomeLossAttributa"/>
            <w:bookmarkEnd w:id="1152"/>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rFonts w:ascii="Times New Roman;Times;Serif" w:hAnsi="Times New Roman;Times;Serif"/>
                <w:sz w:val="20"/>
              </w:rPr>
            </w:pPr>
            <w:bookmarkStart w:id="1153" w:name="xdx_90E_eus-gaap--NetIncomeLossAttributa"/>
            <w:bookmarkEnd w:id="1153"/>
            <w:r>
              <w:rPr>
                <w:rFonts w:ascii="Times New Roman;Times;Serif" w:hAnsi="Times New Roman;Times;Serif"/>
                <w:sz w:val="2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bookmarkStart w:id="1154" w:name="xdx_901_eus-gaap--NetIncomeLossAttributa"/>
            <w:bookmarkEnd w:id="1154"/>
            <w:r>
              <w:rPr/>
              <w:t xml:space="preserve">- </w:t>
            </w: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55" w:name="xdx_F0D_zuUfdzknAY92"/>
            <w:bookmarkEnd w:id="1155"/>
            <w:r>
              <w:rPr>
                <w:rFonts w:ascii="Times New Roman;Times;Serif" w:hAnsi="Times New Roman;Times;Serif"/>
                <w:b w:val="false"/>
                <w:i w:val="false"/>
                <w:caps w:val="false"/>
                <w:smallCaps w:val="false"/>
                <w:sz w:val="20"/>
              </w:rPr>
              <w:t>*</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56" w:name="xdx_F12_zjcoKeRHFjw5"/>
            <w:bookmarkEnd w:id="1156"/>
            <w:r>
              <w:rPr>
                <w:rFonts w:ascii="Times New Roman;Times;Serif" w:hAnsi="Times New Roman;Times;Serif"/>
                <w:b w:val="false"/>
                <w:i w:val="false"/>
                <w:caps w:val="false"/>
                <w:smallCaps w:val="false"/>
                <w:sz w:val="20"/>
              </w:rPr>
              <w:t>Less than $0.5 thousand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both"/>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57" w:name="xdx_F05_zvLABys8FwRl"/>
            <w:bookmarkEnd w:id="1157"/>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58" w:name="xdx_F16_zkBlbqaFV5Sb"/>
            <w:bookmarkEnd w:id="1158"/>
            <w:r>
              <w:rPr>
                <w:rFonts w:ascii="Times New Roman;Times;Serif" w:hAnsi="Times New Roman;Times;Serif"/>
                <w:b w:val="false"/>
                <w:i w:val="false"/>
                <w:caps w:val="false"/>
                <w:smallCaps w:val="false"/>
                <w:sz w:val="20"/>
              </w:rPr>
              <w:t xml:space="preserve">Streamex Ltd.’s results for the six months ended June 30, 2026 were attributed to the noncontrolling interest using separate time-weighted ownership percentages of approximately </w:t>
            </w:r>
            <w:bookmarkStart w:id="1159" w:name="xdx_904_ecustom--VariableInterestPercent"/>
            <w:bookmarkEnd w:id="1159"/>
            <w:r>
              <w:rPr>
                <w:rFonts w:ascii="Times New Roman;Times;Serif" w:hAnsi="Times New Roman;Times;Serif"/>
                <w:b w:val="false"/>
                <w:i w:val="false"/>
                <w:caps w:val="false"/>
                <w:smallCaps w:val="false"/>
                <w:sz w:val="20"/>
              </w:rPr>
              <w:t xml:space="preserve">0.2102% for the first quarter and approximately </w:t>
            </w:r>
            <w:bookmarkStart w:id="1160" w:name="xdx_909_ecustom--VariableInterestPercent"/>
            <w:bookmarkEnd w:id="1160"/>
            <w:r>
              <w:rPr>
                <w:rFonts w:ascii="Times New Roman;Times;Serif" w:hAnsi="Times New Roman;Times;Serif"/>
                <w:b w:val="false"/>
                <w:i w:val="false"/>
                <w:caps w:val="false"/>
                <w:smallCaps w:val="false"/>
                <w:sz w:val="20"/>
              </w:rPr>
              <w:t>4.0250% for the second quarter, applied to the results of each respective quarter. A single blended six-month percentage is not used, because substantially all of Streamex Ltd.’s loss for the period was incurred in the first quarter, when the noncontrolling ownership interest was de minimis, while the second quarter was profitable and the noncontrolling ownership interest was materially higher. Applying a blended percentage to the six-month result would attribute a loss to holders who did not hold their interests during the loss period. On that basis, net income of less than $</w:t>
            </w:r>
            <w:bookmarkStart w:id="1161" w:name="xdx_90B_eus-gaap--NetIncomeLoss_pn5n6_c2"/>
            <w:bookmarkEnd w:id="1161"/>
            <w:r>
              <w:rPr>
                <w:rFonts w:ascii="Times New Roman;Times;Serif" w:hAnsi="Times New Roman;Times;Serif"/>
                <w:b w:val="false"/>
                <w:i w:val="false"/>
                <w:caps w:val="false"/>
                <w:smallCaps w:val="false"/>
                <w:sz w:val="20"/>
              </w:rPr>
              <w:t>0.5 thousand was attributed to the noncontrolling interest for the six months ended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interests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60"/>
        <w:gridCol w:w="60"/>
        <w:gridCol w:w="209"/>
        <w:gridCol w:w="906"/>
        <w:gridCol w:w="215"/>
        <w:gridCol w:w="60"/>
        <w:gridCol w:w="231"/>
        <w:gridCol w:w="729"/>
        <w:gridCol w:w="215"/>
        <w:gridCol w:w="60"/>
        <w:gridCol w:w="193"/>
        <w:gridCol w:w="1213"/>
        <w:gridCol w:w="60"/>
        <w:gridCol w:w="60"/>
        <w:gridCol w:w="140"/>
        <w:gridCol w:w="860"/>
        <w:gridCol w:w="234"/>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2" w:name="xdx_49D_20250101__20250630__srt--Consoli"/>
            <w:bookmarkEnd w:id="1162"/>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ViralClear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3" w:name="xdx_49B_20250101__20250630__srt--Consoli"/>
            <w:bookmarkEnd w:id="1163"/>
          </w:p>
        </w:tc>
        <w:tc>
          <w:tcPr>
            <w:tcW w:w="9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BioSig AI</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4" w:name="xdx_490_20250101__20250630__srt--Consoli"/>
            <w:bookmarkEnd w:id="1164"/>
          </w:p>
        </w:tc>
        <w:tc>
          <w:tcPr>
            <w:tcW w:w="14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Streamex Ltd.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5" w:name="xdx_49F_20250101__20250630_zURSMMI6vcog"/>
            <w:bookmarkEnd w:id="1165"/>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234"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06" w:type="dxa"/>
            <w:tcBorders/>
            <w:shd w:fill="CCEEFF" w:val="clear"/>
            <w:vAlign w:val="center"/>
          </w:tcPr>
          <w:p>
            <w:pPr>
              <w:pStyle w:val="TableContents"/>
              <w:bidi w:val="0"/>
              <w:spacing w:before="0" w:after="283"/>
              <w:jc w:val="right"/>
              <w:rPr/>
            </w:pPr>
            <w:r>
              <w:rPr/>
              <w:t>      </w:t>
            </w:r>
            <w:bookmarkStart w:id="1166" w:name="xdx_90F_ecustom--NetIncomeLossOfNonContr"/>
            <w:bookmarkEnd w:id="1166"/>
            <w:r>
              <w:rPr>
                <w:rFonts w:ascii="Times New Roman;Times;Serif" w:hAnsi="Times New Roman;Times;Serif"/>
                <w:sz w:val="20"/>
              </w:rPr>
              <w:t>-</w:t>
            </w:r>
            <w:r>
              <w:rPr/>
              <w:t> </w:t>
            </w: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   </w:t>
            </w:r>
            <w:bookmarkStart w:id="1167" w:name="xdx_90B_ecustom--NetIncomeLossOfNonContr"/>
            <w:bookmarkEnd w:id="1167"/>
            <w:r>
              <w:rPr/>
              <w:t>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             </w:t>
            </w:r>
            <w:bookmarkStart w:id="1168" w:name="xdx_90A_ecustom--NetIncomeLossOfNonContr"/>
            <w:bookmarkEnd w:id="116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w:t>
            </w:r>
            <w:bookmarkStart w:id="1169" w:name="xdx_90F_ecustom--NetIncomeLossOfNonContr"/>
            <w:bookmarkEnd w:id="1169"/>
            <w:r>
              <w:rPr/>
              <w:t>98</w:t>
            </w:r>
          </w:p>
        </w:tc>
        <w:tc>
          <w:tcPr>
            <w:tcW w:w="234" w:type="dxa"/>
            <w:tcBorders/>
            <w:shd w:fill="CCEEFF" w:val="clear"/>
            <w:vAlign w:val="center"/>
          </w:tcPr>
          <w:p>
            <w:pPr>
              <w:pStyle w:val="TableContents"/>
              <w:bidi w:val="0"/>
              <w:spacing w:before="0" w:after="283"/>
              <w:jc w:val="left"/>
              <w:rPr/>
            </w:pPr>
            <w:r>
              <w:rPr/>
              <w:t> </w:t>
            </w:r>
            <w:bookmarkStart w:id="1170" w:name="xdx_40E_ecustom--AverageNoncontrollingIn"/>
            <w:bookmarkEnd w:id="1170"/>
          </w:p>
        </w:tc>
      </w:tr>
      <w:tr>
        <w:trPr/>
        <w:tc>
          <w:tcPr>
            <w:tcW w:w="4760" w:type="dxa"/>
            <w:tcBorders/>
            <w:shd w:fill="FFFFFF" w:val="clear"/>
            <w:vAlign w:val="center"/>
          </w:tcPr>
          <w:p>
            <w:pPr>
              <w:pStyle w:val="TableContents"/>
              <w:bidi w:val="0"/>
              <w:spacing w:before="0" w:after="283"/>
              <w:jc w:val="left"/>
              <w:rPr/>
            </w:pPr>
            <w:r>
              <w:rPr/>
              <w:t>Noncontrolling ownership percentage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9"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234" w:type="dxa"/>
            <w:tcBorders/>
            <w:shd w:fill="FFFFFF" w:val="clear"/>
            <w:vAlign w:val="center"/>
          </w:tcPr>
          <w:p>
            <w:pPr>
              <w:pStyle w:val="TableContents"/>
              <w:bidi w:val="0"/>
              <w:spacing w:before="0" w:after="283"/>
              <w:jc w:val="left"/>
              <w:rPr/>
            </w:pPr>
            <w:r>
              <w:rPr/>
              <w:t>%</w:t>
            </w:r>
          </w:p>
        </w:tc>
      </w:tr>
      <w:tr>
        <w:trPr/>
        <w:tc>
          <w:tcPr>
            <w:tcW w:w="4760" w:type="dxa"/>
            <w:tcBorders/>
            <w:shd w:fill="CCEEFF" w:val="clear"/>
            <w:vAlign w:val="center"/>
          </w:tcPr>
          <w:p>
            <w:pPr>
              <w:pStyle w:val="TableContents"/>
              <w:bidi w:val="0"/>
              <w:spacing w:before="0" w:after="283"/>
              <w:jc w:val="left"/>
              <w:rPr/>
            </w:pPr>
            <w:r>
              <w:rPr/>
              <w:t>Net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06" w:type="dxa"/>
            <w:tcBorders/>
            <w:shd w:fill="CCEEFF" w:val="clear"/>
            <w:vAlign w:val="center"/>
          </w:tcPr>
          <w:p>
            <w:pPr>
              <w:pStyle w:val="TableContents"/>
              <w:bidi w:val="0"/>
              <w:spacing w:before="0" w:after="283"/>
              <w:jc w:val="right"/>
              <w:rPr>
                <w:rFonts w:ascii="Times New Roman;Times;Serif" w:hAnsi="Times New Roman;Times;Serif"/>
                <w:sz w:val="20"/>
              </w:rPr>
            </w:pPr>
            <w:bookmarkStart w:id="1171" w:name="xdx_90F_eus-gaap--NetIncomeLossAttributa"/>
            <w:bookmarkEnd w:id="1171"/>
            <w:r>
              <w:rPr>
                <w:rFonts w:ascii="Times New Roman;Times;Serif" w:hAnsi="Times New Roman;Times;Serif"/>
                <w:sz w:val="20"/>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bookmarkStart w:id="1172" w:name="xdx_90E_eus-gaap--NetIncomeLossAttributa"/>
            <w:bookmarkEnd w:id="1172"/>
            <w:r>
              <w:rPr/>
              <w:t>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bookmarkStart w:id="1173" w:name="xdx_90A_eus-gaap--NetIncomeLossAttributa"/>
            <w:bookmarkEnd w:id="1173"/>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bookmarkStart w:id="1174" w:name="xdx_90F_eus-gaap--NetIncomeLossAttributa"/>
            <w:bookmarkEnd w:id="1174"/>
            <w:r>
              <w:rPr/>
              <w:t>16</w:t>
            </w:r>
          </w:p>
        </w:tc>
        <w:tc>
          <w:tcPr>
            <w:tcW w:w="23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125"/>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75" w:name="xdx_F09_z0OeQyVXwvri"/>
            <w:bookmarkEnd w:id="1175"/>
            <w:r>
              <w:rPr>
                <w:rFonts w:ascii="Times New Roman;Times;Serif" w:hAnsi="Times New Roman;Times;Serif"/>
                <w:b w:val="false"/>
                <w:i w:val="false"/>
                <w:caps w:val="false"/>
                <w:smallCaps w:val="false"/>
                <w:sz w:val="20"/>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76" w:name="xdx_F1A_z7qs44BhEHT1"/>
            <w:bookmarkEnd w:id="1176"/>
            <w:r>
              <w:rPr>
                <w:rFonts w:ascii="Times New Roman;Times;Serif" w:hAnsi="Times New Roman;Times;Serif"/>
                <w:b w:val="false"/>
                <w:i w:val="false"/>
                <w:caps w:val="false"/>
                <w:smallCaps w:val="false"/>
                <w:sz w:val="20"/>
              </w:rPr>
              <w:t>Less than $0.5 thousand</w:t>
            </w:r>
          </w:p>
        </w:tc>
      </w:tr>
    </w:tbl>
    <w:p>
      <w:pPr>
        <w:pStyle w:val="TextBody"/>
        <w:bidi w:val="0"/>
        <w:spacing w:before="0" w:after="0"/>
        <w:ind w:left="0" w:right="0" w:hanging="0"/>
        <w:jc w:val="both"/>
        <w:rPr>
          <w:caps w:val="false"/>
          <w:smallCaps w:val="false"/>
        </w:rPr>
      </w:pPr>
      <w:bookmarkStart w:id="1177" w:name="xdx_8AD_zLZsQnQBfBO"/>
      <w:bookmarkEnd w:id="11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78" w:name="xdx_890_eus-gaap--ConsolidationLessThanW"/>
      <w:bookmarkEnd w:id="1178"/>
      <w:r>
        <w:rPr>
          <w:rFonts w:ascii="Times New Roman;Times;Serif" w:hAnsi="Times New Roman;Times;Serif"/>
          <w:b w:val="false"/>
          <w:i w:val="false"/>
          <w:caps w:val="false"/>
          <w:smallCaps w:val="false"/>
          <w:sz w:val="20"/>
        </w:rPr>
        <w:t>The following table summarizes the changes in noncontrolling interests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1179" w:name="xdx_8B1_zDdNw07f6MUb"/>
      <w:bookmarkEnd w:id="1179"/>
      <w:r>
        <w:rPr>
          <w:rFonts w:ascii="Times New Roman;Times;Serif" w:hAnsi="Times New Roman;Times;Serif"/>
          <w:b w:val="false"/>
          <w:i w:val="false"/>
          <w:caps w:val="false"/>
          <w:smallCaps w:val="false"/>
          <w:sz w:val="20"/>
        </w:rPr>
        <w:t>SCHEDULE OF CHANGES IN NON-CONTROLLING INTEREST</w:t>
      </w:r>
    </w:p>
    <w:tbl>
      <w:tblPr>
        <w:tblW w:w="10205" w:type="dxa"/>
        <w:jc w:val="left"/>
        <w:tblInd w:w="0" w:type="dxa"/>
        <w:tblLayout w:type="fixed"/>
        <w:tblCellMar>
          <w:top w:w="0" w:type="dxa"/>
          <w:left w:w="0" w:type="dxa"/>
          <w:bottom w:w="0" w:type="dxa"/>
          <w:right w:w="0" w:type="dxa"/>
        </w:tblCellMar>
      </w:tblPr>
      <w:tblGrid>
        <w:gridCol w:w="5308"/>
        <w:gridCol w:w="60"/>
        <w:gridCol w:w="153"/>
        <w:gridCol w:w="962"/>
        <w:gridCol w:w="95"/>
        <w:gridCol w:w="60"/>
        <w:gridCol w:w="185"/>
        <w:gridCol w:w="822"/>
        <w:gridCol w:w="60"/>
        <w:gridCol w:w="60"/>
        <w:gridCol w:w="286"/>
        <w:gridCol w:w="1186"/>
        <w:gridCol w:w="95"/>
        <w:gridCol w:w="60"/>
        <w:gridCol w:w="140"/>
        <w:gridCol w:w="560"/>
        <w:gridCol w:w="113"/>
      </w:tblGrid>
      <w:tr>
        <w:trPr/>
        <w:tc>
          <w:tcPr>
            <w:tcW w:w="5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0" w:name="xdx_4B3_srt--ConsolidatedEntitiesAxis_cu"/>
            <w:bookmarkEnd w:id="1180"/>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ViralClear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1" w:name="xdx_4BB_srt--ConsolidatedEntitiesAxis_cu"/>
            <w:bookmarkEnd w:id="1181"/>
          </w:p>
        </w:tc>
        <w:tc>
          <w:tcPr>
            <w:tcW w:w="10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BioSig AI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2" w:name="xdx_4BA_srt--ConsolidatedEntitiesAxis_cu"/>
            <w:bookmarkEnd w:id="1182"/>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Streamex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3" w:name="xdx_4B5_zXeJdKNELwT1"/>
            <w:bookmarkEnd w:id="1183"/>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bookmarkStart w:id="1184" w:name="xdx_436_c20260101__20260630_eus-gaap--Mi"/>
            <w:bookmarkEnd w:id="1184"/>
          </w:p>
        </w:tc>
      </w:tr>
      <w:tr>
        <w:trPr/>
        <w:tc>
          <w:tcPr>
            <w:tcW w:w="5308" w:type="dxa"/>
            <w:tcBorders/>
            <w:shd w:fill="CCEEFF" w:val="clear"/>
            <w:vAlign w:val="center"/>
          </w:tcPr>
          <w:p>
            <w:pPr>
              <w:pStyle w:val="TableContents"/>
              <w:bidi w:val="0"/>
              <w:spacing w:before="0" w:after="283"/>
              <w:jc w:val="left"/>
              <w:rPr/>
            </w:pPr>
            <w:r>
              <w:rPr/>
              <w:t>Balance, January 1, 2026</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       </w:t>
            </w: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    </w:t>
            </w: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        </w:t>
            </w: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32</w:t>
            </w:r>
          </w:p>
        </w:tc>
        <w:tc>
          <w:tcPr>
            <w:tcW w:w="113" w:type="dxa"/>
            <w:tcBorders/>
            <w:shd w:fill="CCEEFF" w:val="clear"/>
            <w:vAlign w:val="center"/>
          </w:tcPr>
          <w:p>
            <w:pPr>
              <w:pStyle w:val="TableContents"/>
              <w:bidi w:val="0"/>
              <w:spacing w:before="0" w:after="283"/>
              <w:jc w:val="left"/>
              <w:rPr/>
            </w:pPr>
            <w:r>
              <w:rPr/>
              <w:t> </w:t>
            </w:r>
            <w:bookmarkStart w:id="1185" w:name="xdx_409_ecustom--IssuanceOfEquityToNonco"/>
            <w:bookmarkEnd w:id="1185"/>
          </w:p>
        </w:tc>
      </w:tr>
      <w:tr>
        <w:trPr/>
        <w:tc>
          <w:tcPr>
            <w:tcW w:w="5308" w:type="dxa"/>
            <w:tcBorders/>
            <w:shd w:fill="FFFFFF" w:val="clear"/>
            <w:vAlign w:val="center"/>
          </w:tcPr>
          <w:p>
            <w:pPr>
              <w:pStyle w:val="TableContents"/>
              <w:bidi w:val="0"/>
              <w:spacing w:before="0" w:after="283"/>
              <w:jc w:val="left"/>
              <w:rPr/>
            </w:pPr>
            <w:r>
              <w:rPr/>
              <w:t>Contributions from noncontrolling interest holders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350</w:t>
            </w:r>
          </w:p>
        </w:tc>
        <w:tc>
          <w:tcPr>
            <w:tcW w:w="113" w:type="dxa"/>
            <w:tcBorders/>
            <w:shd w:fill="FFFFFF" w:val="clear"/>
            <w:vAlign w:val="center"/>
          </w:tcPr>
          <w:p>
            <w:pPr>
              <w:pStyle w:val="TableContents"/>
              <w:bidi w:val="0"/>
              <w:spacing w:before="0" w:after="283"/>
              <w:jc w:val="left"/>
              <w:rPr/>
            </w:pPr>
            <w:r>
              <w:rPr/>
              <w:t> </w:t>
            </w:r>
            <w:bookmarkStart w:id="1186" w:name="xdx_407_ecustom--ChangeInOwnershipIntere"/>
            <w:bookmarkEnd w:id="1186"/>
          </w:p>
        </w:tc>
      </w:tr>
      <w:tr>
        <w:trPr/>
        <w:tc>
          <w:tcPr>
            <w:tcW w:w="5308" w:type="dxa"/>
            <w:tcBorders/>
            <w:shd w:fill="CCEEFF" w:val="clear"/>
            <w:vAlign w:val="center"/>
          </w:tcPr>
          <w:p>
            <w:pPr>
              <w:pStyle w:val="TableContents"/>
              <w:bidi w:val="0"/>
              <w:spacing w:before="0" w:after="283"/>
              <w:jc w:val="left"/>
              <w:rPr/>
            </w:pPr>
            <w:r>
              <w:rPr/>
              <w:t>Change in ownership interest in Streamex Ltd</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1,120</w:t>
            </w:r>
          </w:p>
        </w:tc>
        <w:tc>
          <w:tcPr>
            <w:tcW w:w="113" w:type="dxa"/>
            <w:tcBorders/>
            <w:shd w:fill="CCEEFF" w:val="clear"/>
            <w:vAlign w:val="center"/>
          </w:tcPr>
          <w:p>
            <w:pPr>
              <w:pStyle w:val="TableContents"/>
              <w:bidi w:val="0"/>
              <w:spacing w:before="0" w:after="283"/>
              <w:jc w:val="left"/>
              <w:rPr/>
            </w:pPr>
            <w:r>
              <w:rPr/>
              <w:t> </w:t>
            </w:r>
            <w:bookmarkStart w:id="1187" w:name="xdx_400_ecustom--DistributionsToNoncontr"/>
            <w:bookmarkEnd w:id="1187"/>
          </w:p>
        </w:tc>
      </w:tr>
      <w:tr>
        <w:trPr/>
        <w:tc>
          <w:tcPr>
            <w:tcW w:w="5308" w:type="dxa"/>
            <w:tcBorders/>
            <w:shd w:fill="FFFFFF" w:val="clear"/>
            <w:vAlign w:val="center"/>
          </w:tcPr>
          <w:p>
            <w:pPr>
              <w:pStyle w:val="TableContents"/>
              <w:bidi w:val="0"/>
              <w:spacing w:before="0" w:after="283"/>
              <w:jc w:val="left"/>
              <w:rPr/>
            </w:pPr>
            <w:r>
              <w:rPr/>
              <w:t>Distributions to noncontrolling interest holders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w:t>
            </w:r>
          </w:p>
        </w:tc>
        <w:tc>
          <w:tcPr>
            <w:tcW w:w="113" w:type="dxa"/>
            <w:tcBorders/>
            <w:shd w:fill="FFFFFF" w:val="clear"/>
            <w:vAlign w:val="center"/>
          </w:tcPr>
          <w:p>
            <w:pPr>
              <w:pStyle w:val="TableContents"/>
              <w:bidi w:val="0"/>
              <w:spacing w:before="0" w:after="283"/>
              <w:jc w:val="left"/>
              <w:rPr/>
            </w:pPr>
            <w:r>
              <w:rPr/>
              <w:t>)</w:t>
            </w:r>
            <w:bookmarkStart w:id="1188" w:name="xdx_402_eus-gaap--NetIncomeLossAttributa"/>
            <w:bookmarkEnd w:id="1188"/>
          </w:p>
        </w:tc>
      </w:tr>
      <w:tr>
        <w:trPr/>
        <w:tc>
          <w:tcPr>
            <w:tcW w:w="5308" w:type="dxa"/>
            <w:tcBorders/>
            <w:shd w:fill="CCEEFF" w:val="clear"/>
            <w:vAlign w:val="center"/>
          </w:tcPr>
          <w:p>
            <w:pPr>
              <w:pStyle w:val="TableContents"/>
              <w:bidi w:val="0"/>
              <w:spacing w:before="0" w:after="283"/>
              <w:jc w:val="left"/>
              <w:rPr/>
            </w:pPr>
            <w:r>
              <w:rPr/>
              <w:t>Net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189" w:name="xdx_436_c20260101__20260630_eus-gaap--Mi"/>
            <w:bookmarkEnd w:id="1189"/>
          </w:p>
        </w:tc>
      </w:tr>
      <w:tr>
        <w:trPr/>
        <w:tc>
          <w:tcPr>
            <w:tcW w:w="5308" w:type="dxa"/>
            <w:tcBorders/>
            <w:shd w:fill="FFFFFF" w:val="clear"/>
            <w:vAlign w:val="center"/>
          </w:tcPr>
          <w:p>
            <w:pPr>
              <w:pStyle w:val="TableContents"/>
              <w:bidi w:val="0"/>
              <w:spacing w:before="0" w:after="283"/>
              <w:jc w:val="left"/>
              <w:rPr/>
            </w:pPr>
            <w:r>
              <w:rPr/>
              <w:t>Balance, June 30, 2026</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6" w:type="dxa"/>
            <w:tcBorders>
              <w:bottom w:val="double" w:sz="6" w:space="0" w:color="000000"/>
            </w:tcBorders>
            <w:shd w:fill="FFFFFF" w:val="clear"/>
            <w:tcMar>
              <w:bottom w:w="28" w:type="dxa"/>
            </w:tcMar>
            <w:vAlign w:val="center"/>
          </w:tcPr>
          <w:p>
            <w:pPr>
              <w:pStyle w:val="TableContents"/>
              <w:bidi w:val="0"/>
              <w:spacing w:before="0" w:after="283"/>
              <w:jc w:val="right"/>
              <w:rPr/>
            </w:pPr>
            <w:r>
              <w:rPr/>
              <w:t>1,465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1,497</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noncontrolling interests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97"/>
        <w:gridCol w:w="60"/>
        <w:gridCol w:w="140"/>
        <w:gridCol w:w="1355"/>
        <w:gridCol w:w="95"/>
        <w:gridCol w:w="60"/>
        <w:gridCol w:w="140"/>
        <w:gridCol w:w="920"/>
        <w:gridCol w:w="60"/>
        <w:gridCol w:w="60"/>
        <w:gridCol w:w="168"/>
        <w:gridCol w:w="1274"/>
        <w:gridCol w:w="60"/>
        <w:gridCol w:w="60"/>
        <w:gridCol w:w="140"/>
        <w:gridCol w:w="740"/>
        <w:gridCol w:w="76"/>
      </w:tblGrid>
      <w:tr>
        <w:trPr/>
        <w:tc>
          <w:tcPr>
            <w:tcW w:w="4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0" w:name="xdx_4B3_srt--ConsolidatedEntitiesAxis_cu"/>
            <w:bookmarkEnd w:id="1190"/>
          </w:p>
        </w:tc>
        <w:tc>
          <w:tcPr>
            <w:tcW w:w="14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ViralClear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1" w:name="xdx_4BB_srt--ConsolidatedEntitiesAxis_cu"/>
            <w:bookmarkEnd w:id="1191"/>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BioSig AI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2" w:name="xdx_4BA_srt--ConsolidatedEntitiesAxis_cu"/>
            <w:bookmarkEnd w:id="1192"/>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Streamex Ltd.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3" w:name="xdx_4B5_zS8sGhacwCa"/>
            <w:bookmarkEnd w:id="1193"/>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6" w:type="dxa"/>
            <w:tcBorders/>
            <w:vAlign w:val="center"/>
          </w:tcPr>
          <w:p>
            <w:pPr>
              <w:pStyle w:val="TableContents"/>
              <w:bidi w:val="0"/>
              <w:spacing w:before="0" w:after="283"/>
              <w:jc w:val="left"/>
              <w:rPr/>
            </w:pPr>
            <w:r>
              <w:rPr/>
              <w:t> </w:t>
            </w:r>
            <w:bookmarkStart w:id="1194" w:name="xdx_43A_c20250101__20250630_eus-gaap--Mi"/>
            <w:bookmarkEnd w:id="1194"/>
          </w:p>
        </w:tc>
      </w:tr>
      <w:tr>
        <w:trPr/>
        <w:tc>
          <w:tcPr>
            <w:tcW w:w="4797" w:type="dxa"/>
            <w:tcBorders/>
            <w:shd w:fill="CCEEFF" w:val="clear"/>
            <w:vAlign w:val="center"/>
          </w:tcPr>
          <w:p>
            <w:pPr>
              <w:pStyle w:val="TableContents"/>
              <w:bidi w:val="0"/>
              <w:spacing w:before="0" w:after="283"/>
              <w:jc w:val="left"/>
              <w:rPr/>
            </w:pPr>
            <w:r>
              <w:rPr/>
              <w:t>Balance,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jc w:val="right"/>
              <w:rPr/>
            </w:pPr>
            <w:r>
              <w:rPr/>
              <w:t>               </w:t>
            </w: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r>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17</w:t>
            </w:r>
          </w:p>
        </w:tc>
        <w:tc>
          <w:tcPr>
            <w:tcW w:w="76" w:type="dxa"/>
            <w:tcBorders/>
            <w:shd w:fill="CCEEFF" w:val="clear"/>
            <w:vAlign w:val="center"/>
          </w:tcPr>
          <w:p>
            <w:pPr>
              <w:pStyle w:val="TableContents"/>
              <w:bidi w:val="0"/>
              <w:spacing w:before="0" w:after="283"/>
              <w:jc w:val="left"/>
              <w:rPr/>
            </w:pPr>
            <w:r>
              <w:rPr/>
              <w:t> </w:t>
            </w:r>
            <w:bookmarkStart w:id="1195" w:name="xdx_40F_eus-gaap--NetIncomeLossAttributa"/>
            <w:bookmarkEnd w:id="1195"/>
          </w:p>
        </w:tc>
      </w:tr>
      <w:tr>
        <w:trPr/>
        <w:tc>
          <w:tcPr>
            <w:tcW w:w="4797" w:type="dxa"/>
            <w:tcBorders/>
            <w:shd w:fill="FFFFFF" w:val="clear"/>
            <w:vAlign w:val="center"/>
          </w:tcPr>
          <w:p>
            <w:pPr>
              <w:pStyle w:val="TableContents"/>
              <w:bidi w:val="0"/>
              <w:spacing w:before="0" w:after="283"/>
              <w:jc w:val="left"/>
              <w:rPr/>
            </w:pPr>
            <w:r>
              <w:rPr/>
              <w:t>Net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t>16</w:t>
            </w:r>
          </w:p>
        </w:tc>
        <w:tc>
          <w:tcPr>
            <w:tcW w:w="76" w:type="dxa"/>
            <w:tcBorders/>
            <w:shd w:fill="FFFFFF" w:val="clear"/>
            <w:vAlign w:val="center"/>
          </w:tcPr>
          <w:p>
            <w:pPr>
              <w:pStyle w:val="TableContents"/>
              <w:bidi w:val="0"/>
              <w:spacing w:before="0" w:after="283"/>
              <w:jc w:val="left"/>
              <w:rPr/>
            </w:pPr>
            <w:r>
              <w:rPr/>
              <w:t> </w:t>
            </w:r>
            <w:bookmarkStart w:id="1196" w:name="xdx_434_c20250101__20250630_eus-gaap--Mi"/>
            <w:bookmarkEnd w:id="1196"/>
          </w:p>
        </w:tc>
      </w:tr>
      <w:tr>
        <w:trPr/>
        <w:tc>
          <w:tcPr>
            <w:tcW w:w="4797" w:type="dxa"/>
            <w:tcBorders/>
            <w:shd w:fill="CCEEFF" w:val="clear"/>
            <w:vAlign w:val="center"/>
          </w:tcPr>
          <w:p>
            <w:pPr>
              <w:pStyle w:val="TableContents"/>
              <w:bidi w:val="0"/>
              <w:spacing w:before="0" w:after="283"/>
              <w:jc w:val="left"/>
              <w:rPr/>
            </w:pPr>
            <w:r>
              <w:rPr/>
              <w:t>Balance,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pPr>
            <w:r>
              <w:rPr/>
              <w:t>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pPr>
            <w:r>
              <w:rPr/>
              <w:t>33</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97" w:name="xdx_8AF_zXLR6k76905k"/>
      <w:bookmarkEnd w:id="119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98" w:name="xdx_803_eus-gaap--CommitmentsAndContinge"/>
      <w:bookmarkEnd w:id="1198"/>
      <w:r>
        <w:rPr>
          <w:rFonts w:ascii="Times New Roman;Times;Serif" w:hAnsi="Times New Roman;Times;Serif"/>
          <w:b/>
          <w:i w:val="false"/>
          <w:caps w:val="false"/>
          <w:smallCaps w:val="false"/>
          <w:sz w:val="20"/>
        </w:rPr>
        <w:t xml:space="preserve">NOTE 19 – </w:t>
      </w:r>
      <w:bookmarkStart w:id="1199" w:name="xdx_82B_zbPxZHhJeB7"/>
      <w:bookmarkEnd w:id="1199"/>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Tokenized Yield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the Company entered into a Tokenized Yield Partnership Agreement (the “Token Agreement”) with Monetary Metals &amp; Co. (“MM”), a Delaware corporation, establishing an exclusive, multi-year strategic partnership to design, launch, and distribute blockchain-based financial products that tokenize the yield generated from MM’s precious-metal lease and bond programs. The Token Agreement commenced on September 8, 2025 and continues for an initial term of three years, subject to automatic one-year renewal periods unless terminated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gold assets held by Streamex Ltd. and the related variable interest entity disclosures, see Note 10 — Other Assets — Gold and Note 12 — Streamex Ltd. (VIE),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 and Performance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at least three years, MM agreed not to engage with any other party to tokenize the yield or other financial attributes of its precious-metal lease or bond products, and the Company agreed not to partner with any third party to tokenize yield derived from precious-metal leases, in each case subject to specified volume-based performance conditions. To maintain exclusivity, the Company must supply at least 10% of the total leased ounces presented by MM each quarter that meet defined criteria, including minimum insurance standards, a net yield of at least 3% per annum after origination fees, and compliance with restrictions on counterparties and jurisdictions. Failure to meet these thresholds, after a 90-day cure period, results in loss of exclusivity but does not obligate the Company to commit capital or continue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2026, the Company entered into a consulting agreement with an independent third party to provide advisory and capital-markets-related services in connection with the Company’s GLDY Token program. The agreement has an initial term of six months and provides for a fixed consulting fee of $</w:t>
      </w:r>
      <w:bookmarkStart w:id="1200" w:name="xdx_90F_ecustom--ConsultingFees_pn3n3_c2"/>
      <w:bookmarkEnd w:id="1200"/>
      <w:r>
        <w:rPr>
          <w:rFonts w:ascii="Times New Roman;Times;Serif" w:hAnsi="Times New Roman;Times;Serif"/>
          <w:b w:val="false"/>
          <w:i w:val="false"/>
          <w:caps w:val="false"/>
          <w:smallCaps w:val="false"/>
          <w:sz w:val="20"/>
        </w:rPr>
        <w:t>4,000, as well as potential transaction-based fees contingent upon the completion of specified activities during the term. The fixed consulting fee was paid in full during the six months ended June 30, 2026. As of June 30, 2026, the unamortized portion of the consulting fee was $</w:t>
      </w:r>
      <w:bookmarkStart w:id="1201" w:name="xdx_903_ecustom--PrepaidConsultingFeeCur"/>
      <w:bookmarkEnd w:id="1201"/>
      <w:r>
        <w:rPr>
          <w:rFonts w:ascii="Times New Roman;Times;Serif" w:hAnsi="Times New Roman;Times;Serif"/>
          <w:b w:val="false"/>
          <w:i w:val="false"/>
          <w:caps w:val="false"/>
          <w:smallCaps w:val="false"/>
          <w:sz w:val="20"/>
        </w:rPr>
        <w:t>773, which is included in prepaid expenses and other assets on the unaudited condensed consolidated balance sheet and is being recognized ratably over the contractual service period. No transaction-based fees were earned or payable during the six months ended June 30,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at times to other legal proceedings and claims, which arise in the ordinary course of our business. Although occasional adverse decisions or settlements may occur, the Company believes that the final disposition of such matters should not have a material adverse effect on its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a former advisor filed a Notice of Civil Claim in the Supreme Court of British Columbia against the Company, its wholly owned subsidiary Streamex Exchange Corporation, and certain current officers and directors. The claim alleges, among other things, breach of contract, unjust enrichment, and civil conspiracy in connection with alleged agreements relating to equity interests in Streamex Exchange Corporation prior to the Company’s acquisition of that entity. The plaintiff seeks, among other relief, specific performance, equitable compensation, and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disputes the claims and intends to defend the matter vigorously. As of June 30, 2026, no liability has been recorded in the unaudited condensed consolidated financial statements related to this matter, as management, after consultation with legal counsel, believes that a loss is not probable. The matter is in a preliminary stage and, as a result, the Company is unable to reasonably estimate the possible loss or range of loss, if any, associated with this matter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02" w:name="xdx_806_eus-gaap--RelatedPartyTransactio"/>
      <w:bookmarkEnd w:id="1202"/>
      <w:r>
        <w:rPr>
          <w:rFonts w:ascii="Times New Roman;Times;Serif" w:hAnsi="Times New Roman;Times;Serif"/>
          <w:b/>
          <w:i w:val="false"/>
          <w:caps w:val="false"/>
          <w:smallCaps w:val="false"/>
          <w:sz w:val="20"/>
        </w:rPr>
        <w:t xml:space="preserve">NOTE 20 – </w:t>
      </w:r>
      <w:bookmarkStart w:id="1203" w:name="xdx_823_z2RrDISr76yb"/>
      <w:bookmarkEnd w:id="1203"/>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accounts payable and accrued expenses included approximately $</w:t>
      </w:r>
      <w:bookmarkStart w:id="1204" w:name="xdx_901_eus-gaap--AccountsPayableAndAccr"/>
      <w:bookmarkEnd w:id="1204"/>
      <w:r>
        <w:rPr>
          <w:rFonts w:ascii="Times New Roman;Times;Serif" w:hAnsi="Times New Roman;Times;Serif"/>
          <w:b w:val="false"/>
          <w:i w:val="false"/>
          <w:caps w:val="false"/>
          <w:smallCaps w:val="false"/>
          <w:sz w:val="20"/>
        </w:rPr>
        <w:t>140 due to related parties, comprising $</w:t>
      </w:r>
      <w:bookmarkStart w:id="1205" w:name="xdx_906_eus-gaap--AccountsPayableCurrent"/>
      <w:bookmarkEnd w:id="1205"/>
      <w:r>
        <w:rPr>
          <w:rFonts w:ascii="Times New Roman;Times;Serif" w:hAnsi="Times New Roman;Times;Serif"/>
          <w:b w:val="false"/>
          <w:i w:val="false"/>
          <w:caps w:val="false"/>
          <w:smallCaps w:val="false"/>
          <w:sz w:val="20"/>
        </w:rPr>
        <w:t>91 of related-party accounts payable and $</w:t>
      </w:r>
      <w:bookmarkStart w:id="1206" w:name="xdx_90D_ecustom--AccruedSeveranceCurrent"/>
      <w:bookmarkEnd w:id="1206"/>
      <w:r>
        <w:rPr>
          <w:rFonts w:ascii="Times New Roman;Times;Serif" w:hAnsi="Times New Roman;Times;Serif"/>
          <w:b w:val="false"/>
          <w:i w:val="false"/>
          <w:caps w:val="false"/>
          <w:smallCaps w:val="false"/>
          <w:sz w:val="20"/>
        </w:rPr>
        <w:t>49 of accrued severance, compared to approximately $</w:t>
      </w:r>
      <w:bookmarkStart w:id="1207" w:name="xdx_90C_eus-gaap--AccountsPayableAndAccr"/>
      <w:bookmarkEnd w:id="1207"/>
      <w:r>
        <w:rPr>
          <w:rFonts w:ascii="Times New Roman;Times;Serif" w:hAnsi="Times New Roman;Times;Serif"/>
          <w:b w:val="false"/>
          <w:i w:val="false"/>
          <w:caps w:val="false"/>
          <w:smallCaps w:val="false"/>
          <w:sz w:val="20"/>
        </w:rPr>
        <w:t>75 as of December 31, 2025. These amounts relate primarily to consulting fees and amounts payable to affiliated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incurred approximately $</w:t>
      </w:r>
      <w:bookmarkStart w:id="1208" w:name="xdx_903_eus-gaap--OtherLiabilitiesCurren"/>
      <w:bookmarkEnd w:id="1208"/>
      <w:r>
        <w:rPr>
          <w:rFonts w:ascii="Times New Roman;Times;Serif" w:hAnsi="Times New Roman;Times;Serif"/>
          <w:b w:val="false"/>
          <w:i w:val="false"/>
          <w:caps w:val="false"/>
          <w:smallCaps w:val="false"/>
          <w:sz w:val="20"/>
        </w:rPr>
        <w:t>105 of consulting and advisory expense for services provided by entities controlled by, or affiliated with, an executive officer and an advisor and significant shareholder of the Company, recorded within general and administrative expense. The Company also incurred approximately $</w:t>
      </w:r>
      <w:bookmarkStart w:id="1209" w:name="xdx_907_eus-gaap--LegalFees_pn3n3_c20260"/>
      <w:bookmarkEnd w:id="1209"/>
      <w:r>
        <w:rPr>
          <w:rFonts w:ascii="Times New Roman;Times;Serif" w:hAnsi="Times New Roman;Times;Serif"/>
          <w:b w:val="false"/>
          <w:i w:val="false"/>
          <w:caps w:val="false"/>
          <w:smallCaps w:val="false"/>
          <w:sz w:val="20"/>
        </w:rPr>
        <w:t>629 of legal services expense provided by a law firm affiliated with the Company’s General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recognized approximately $</w:t>
      </w:r>
      <w:bookmarkStart w:id="1210" w:name="xdx_90C_ecustom--SeverenceExpenses_pn3n3"/>
      <w:bookmarkEnd w:id="1210"/>
      <w:r>
        <w:rPr>
          <w:rFonts w:ascii="Times New Roman;Times;Serif" w:hAnsi="Times New Roman;Times;Serif"/>
          <w:b w:val="false"/>
          <w:i w:val="false"/>
          <w:caps w:val="false"/>
          <w:smallCaps w:val="false"/>
          <w:sz w:val="20"/>
        </w:rPr>
        <w:t>779 of severance expense in connection with the separation of a former executive officer pursuant to a separation agreement. As of June 30, 2026, and December 31, 2025 approximately $</w:t>
      </w:r>
      <w:bookmarkStart w:id="1211" w:name="xdx_902_ecustom--SeverenceExpensesAccrue"/>
      <w:bookmarkEnd w:id="1211"/>
      <w:r>
        <w:rPr>
          <w:rFonts w:ascii="Times New Roman;Times;Serif" w:hAnsi="Times New Roman;Times;Serif"/>
          <w:b w:val="false"/>
          <w:i w:val="false"/>
          <w:caps w:val="false"/>
          <w:smallCaps w:val="false"/>
          <w:sz w:val="20"/>
        </w:rPr>
        <w:t>49 and $</w:t>
      </w:r>
      <w:bookmarkStart w:id="1212" w:name="xdx_903_ecustom--SeverenceExpensesAccrue"/>
      <w:bookmarkEnd w:id="1212"/>
      <w:r>
        <w:rPr>
          <w:rFonts w:ascii="Times New Roman;Times;Serif" w:hAnsi="Times New Roman;Times;Serif"/>
          <w:b w:val="false"/>
          <w:i w:val="false"/>
          <w:caps w:val="false"/>
          <w:smallCaps w:val="false"/>
          <w:sz w:val="20"/>
        </w:rPr>
        <w:t>66, respectively of the related obligation remained accrued and unpaid.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GLDY Token Subscriptions by Officers. During the six months ended June 30, 2026, three officers of the Company subscribed for GLDY tokens issued by Streamex Ltd., the Company’s consolidated variable interest entity:</w:t>
      </w:r>
      <w:bookmarkStart w:id="1213" w:name="xdx_904_ecustom--StockOptionDescription_"/>
      <w:bookmarkEnd w:id="1213"/>
      <w:r>
        <w:rPr>
          <w:rFonts w:ascii="Times New Roman;Times;Serif" w:hAnsi="Times New Roman;Times;Serif"/>
          <w:b w:val="false"/>
          <w:i w:val="false"/>
          <w:caps w:val="false"/>
          <w:smallCaps w:val="false"/>
          <w:sz w:val="20"/>
        </w:rPr>
        <w:t xml:space="preserve"> (i) the Chief Investment Officer subscribed for approximately $200 of GLDY tokens; (ii) the General Counsel subscribed for approximately $25 of GLDY tokens; and (iii) the Chief Executive Officer, who is also a member of the Board of Directors, subscribed for approximately $25 of GLDY tokens. The subscriptions were made on the same terms and at the same per-token price as the Company’s own subscriptions pursuant to the GLDY Subscription Agreement. As of June 30, 2026, GLDY tokens held by officers of the Company represented approximately 1.6% of the total outstanding GLDY tokens. These holdings are included within the approximately 9.0% of outstanding GLDY tokens held by external tokenholders and presented as a noncontrolling interest in Streamex Ltd. See Note 12 — Streamex Ltd.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14" w:name="xdx_806_eus-gaap--SegmentReportingDisclo"/>
      <w:bookmarkEnd w:id="1214"/>
      <w:r>
        <w:rPr>
          <w:rFonts w:ascii="Times New Roman;Times;Serif" w:hAnsi="Times New Roman;Times;Serif"/>
          <w:b/>
          <w:i w:val="false"/>
          <w:caps w:val="false"/>
          <w:smallCaps w:val="false"/>
          <w:sz w:val="20"/>
        </w:rPr>
        <w:t xml:space="preserve">NOTE 21 – </w:t>
      </w:r>
      <w:bookmarkStart w:id="1215" w:name="xdx_82B_zZ0yF2eOpB75"/>
      <w:bookmarkEnd w:id="1215"/>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w:t>
      </w:r>
      <w:bookmarkStart w:id="1216" w:name="xdx_908_eus-gaap--NumberOfReportableSegm"/>
      <w:bookmarkEnd w:id="1216"/>
      <w:r>
        <w:rPr>
          <w:rFonts w:ascii="Times New Roman;Times;Serif" w:hAnsi="Times New Roman;Times;Serif"/>
          <w:b w:val="false"/>
          <w:i w:val="false"/>
          <w:caps w:val="false"/>
          <w:smallCaps w:val="false"/>
          <w:sz w:val="20"/>
        </w:rPr>
        <w:t>1 operating and reportable segment. The Company’s Chief Executive Officer is the chief operating decision maker (the “CODM”) and evaluates financial performance and allocates resources on a consolidated basis. The CODM does not receive or review discrete operating results, or separate financial information, for Streamex Exchange or any other business unit; accordingly, the Company has determined that it operates as one reportable segment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May 28, 2025 acquisition of Streamex Exchange, the Company appointed a new Chief Executive Officer, who was designated as the CODM. Although the acquisition introduced a new line of business focused on digital asset infrastructure, the CODM has not begun reviewing Streamex Exchange’s operating results separately for purposes of performance assessment or resource allocation. Management believes a transitional period is appropriate given the timing of the acquisition and the early-stage status of the Streamex Exchange platform. The Company will continue to monitor the CODM’s review practices and internal reporting structure and, in accordance with ASC 280-10-50-34, will recast prior-period segment disclosures retrospectively if a change in reportable segments occurs in a future period.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profit or loss reviewed by the CODM is consolidated net loss. The significant expense categories and amounts regularly provided to the CODM are those presented on the face of the unaudited condensed consolidated statements of operations, including general and administrative expense, depreciation and amortization, and the components of other income and expense. The CODM also evaluates actual results against budgeted amounts in making decisions about strategic initiatives and resource allocation. Segment assets are not separately reported to or reviewed by the CODM. All assets are managed on a consolidated basis and are reported in the Company’s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217" w:name="xdx_892_eus-gaap--ScheduleOfSegmentRepor"/>
      <w:bookmarkEnd w:id="1217"/>
      <w:r>
        <w:rPr>
          <w:rFonts w:ascii="Times New Roman;Times;Serif" w:hAnsi="Times New Roman;Times;Serif"/>
          <w:b w:val="false"/>
          <w:i w:val="false"/>
          <w:caps w:val="false"/>
          <w:smallCaps w:val="false"/>
          <w:sz w:val="20"/>
        </w:rPr>
        <w:t>Information concerning the operations of the Company’s reportable segment is as follows:</w:t>
      </w:r>
    </w:p>
    <w:p>
      <w:pPr>
        <w:pStyle w:val="TextBody"/>
        <w:bidi w:val="0"/>
        <w:spacing w:before="0" w:after="0"/>
        <w:ind w:left="0" w:right="0" w:hanging="0"/>
        <w:jc w:val="left"/>
        <w:rPr>
          <w:caps w:val="false"/>
          <w:smallCaps w:val="false"/>
        </w:rPr>
      </w:pPr>
      <w:r>
        <w:rPr>
          <w:caps w:val="false"/>
          <w:smallCaps w:val="false"/>
        </w:rPr>
        <w:t> </w:t>
      </w:r>
      <w:bookmarkStart w:id="1218" w:name="xdx_8B7_z1oTshsliya5"/>
      <w:bookmarkEnd w:id="1218"/>
      <w:r>
        <w:rPr>
          <w:rFonts w:ascii="Times New Roman;Times;Serif" w:hAnsi="Times New Roman;Times;Serif"/>
          <w:b w:val="false"/>
          <w:i w:val="false"/>
          <w:caps w:val="false"/>
          <w:smallCaps w:val="false"/>
          <w:sz w:val="20"/>
        </w:rPr>
        <w:t>SCHEDULE OF SEGMENT REPORTING</w:t>
      </w:r>
    </w:p>
    <w:tbl>
      <w:tblPr>
        <w:tblW w:w="10205" w:type="dxa"/>
        <w:jc w:val="left"/>
        <w:tblInd w:w="0" w:type="dxa"/>
        <w:tblLayout w:type="fixed"/>
        <w:tblCellMar>
          <w:top w:w="0" w:type="dxa"/>
          <w:left w:w="0" w:type="dxa"/>
          <w:bottom w:w="0" w:type="dxa"/>
          <w:right w:w="0" w:type="dxa"/>
        </w:tblCellMar>
      </w:tblPr>
      <w:tblGrid>
        <w:gridCol w:w="5746"/>
        <w:gridCol w:w="60"/>
        <w:gridCol w:w="155"/>
        <w:gridCol w:w="840"/>
        <w:gridCol w:w="105"/>
        <w:gridCol w:w="66"/>
        <w:gridCol w:w="155"/>
        <w:gridCol w:w="840"/>
        <w:gridCol w:w="95"/>
        <w:gridCol w:w="60"/>
        <w:gridCol w:w="141"/>
        <w:gridCol w:w="764"/>
        <w:gridCol w:w="95"/>
        <w:gridCol w:w="60"/>
        <w:gridCol w:w="141"/>
        <w:gridCol w:w="764"/>
        <w:gridCol w:w="118"/>
      </w:tblGrid>
      <w:tr>
        <w:trPr/>
        <w:tc>
          <w:tcPr>
            <w:tcW w:w="57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219" w:name="xdx_49E_20260401__20260630__us-gaap--Sta"/>
            <w:bookmarkEnd w:id="1219"/>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1220" w:name="xdx_49B_20250401__20250630__us-gaap--Sta"/>
            <w:bookmarkEnd w:id="1220"/>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1" w:name="xdx_494_20260101__20260630__us-gaap--Sta"/>
            <w:bookmarkEnd w:id="1221"/>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2" w:name="xdx_490_20250101__20250630__us-gaap--Sta"/>
            <w:bookmarkEnd w:id="1222"/>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8" w:type="dxa"/>
            <w:tcBorders/>
            <w:vAlign w:val="center"/>
          </w:tcPr>
          <w:p>
            <w:pPr>
              <w:pStyle w:val="TableContents"/>
              <w:bidi w:val="0"/>
              <w:spacing w:before="0" w:after="283"/>
              <w:jc w:val="left"/>
              <w:rPr/>
            </w:pPr>
            <w:r>
              <w:rPr/>
              <w:t> </w:t>
            </w:r>
          </w:p>
        </w:tc>
      </w:tr>
      <w:tr>
        <w:trPr/>
        <w:tc>
          <w:tcPr>
            <w:tcW w:w="57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61" w:type="dxa"/>
            <w:gridSpan w:val="6"/>
            <w:tcBorders>
              <w:bottom w:val="single" w:sz="8" w:space="0" w:color="000000"/>
            </w:tcBorders>
            <w:tcMar>
              <w:bottom w:w="28" w:type="dxa"/>
            </w:tcMar>
            <w:vAlign w:val="center"/>
          </w:tcPr>
          <w:p>
            <w:pPr>
              <w:pStyle w:val="TableContents"/>
              <w:bidi w:val="0"/>
              <w:jc w:val="center"/>
              <w:rPr>
                <w:b/>
              </w:rPr>
            </w:pPr>
            <w:r>
              <w:rPr>
                <w:b/>
              </w:rPr>
              <w:t>For the Three Months</w:t>
            </w:r>
          </w:p>
          <w:p>
            <w:pPr>
              <w:pStyle w:val="TableContents"/>
              <w:bidi w:val="0"/>
              <w:spacing w:before="0" w:after="283"/>
              <w:jc w:val="center"/>
              <w:rPr>
                <w:b/>
              </w:rPr>
            </w:pPr>
            <w:r>
              <w:rPr>
                <w:b/>
              </w:rPr>
              <w:t>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5" w:type="dxa"/>
            <w:gridSpan w:val="6"/>
            <w:tcBorders>
              <w:bottom w:val="single" w:sz="8" w:space="0" w:color="000000"/>
            </w:tcBorders>
            <w:tcMar>
              <w:bottom w:w="28" w:type="dxa"/>
            </w:tcMar>
            <w:vAlign w:val="center"/>
          </w:tcPr>
          <w:p>
            <w:pPr>
              <w:pStyle w:val="TableContents"/>
              <w:bidi w:val="0"/>
              <w:jc w:val="center"/>
              <w:rPr>
                <w:b/>
              </w:rPr>
            </w:pPr>
            <w:r>
              <w:rPr>
                <w:b/>
              </w:rPr>
              <w:t>For the Six Months</w:t>
            </w:r>
          </w:p>
          <w:p>
            <w:pPr>
              <w:pStyle w:val="TableContents"/>
              <w:bidi w:val="0"/>
              <w:spacing w:before="0" w:after="283"/>
              <w:jc w:val="center"/>
              <w:rPr>
                <w:b/>
              </w:rPr>
            </w:pPr>
            <w:r>
              <w:rPr>
                <w:b/>
              </w:rPr>
              <w:t>Ended June 30,</w:t>
            </w:r>
          </w:p>
        </w:tc>
        <w:tc>
          <w:tcPr>
            <w:tcW w:w="118" w:type="dxa"/>
            <w:tcBorders/>
            <w:vAlign w:val="center"/>
          </w:tcPr>
          <w:p>
            <w:pPr>
              <w:pStyle w:val="TableContents"/>
              <w:bidi w:val="0"/>
              <w:spacing w:before="0" w:after="283"/>
              <w:jc w:val="left"/>
              <w:rPr/>
            </w:pPr>
            <w:r>
              <w:rPr/>
              <w:t> </w:t>
            </w:r>
          </w:p>
        </w:tc>
      </w:tr>
      <w:tr>
        <w:trPr/>
        <w:tc>
          <w:tcPr>
            <w:tcW w:w="57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8" w:type="dxa"/>
            <w:tcBorders/>
            <w:vAlign w:val="center"/>
          </w:tcPr>
          <w:p>
            <w:pPr>
              <w:pStyle w:val="TableContents"/>
              <w:bidi w:val="0"/>
              <w:spacing w:before="0" w:after="283"/>
              <w:jc w:val="left"/>
              <w:rPr/>
            </w:pPr>
            <w:r>
              <w:rPr/>
              <w:t> </w:t>
            </w:r>
          </w:p>
        </w:tc>
      </w:tr>
      <w:tr>
        <w:trPr/>
        <w:tc>
          <w:tcPr>
            <w:tcW w:w="57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bookmarkStart w:id="1223" w:name="xdx_40E_eus-gaap--RevenueFromContractWit"/>
            <w:bookmarkEnd w:id="1223"/>
          </w:p>
        </w:tc>
      </w:tr>
      <w:tr>
        <w:trPr/>
        <w:tc>
          <w:tcPr>
            <w:tcW w:w="5746" w:type="dxa"/>
            <w:tcBorders/>
            <w:shd w:fill="CCEEFF" w:val="clear"/>
            <w:vAlign w:val="center"/>
          </w:tcPr>
          <w:p>
            <w:pPr>
              <w:pStyle w:val="TableContents"/>
              <w:bidi w:val="0"/>
              <w:spacing w:before="0" w:after="283"/>
              <w:jc w:val="left"/>
              <w:rPr/>
            </w:pPr>
            <w:r>
              <w:rPr/>
              <w:t>Gold lease income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146</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pPr>
            <w:r>
              <w:rPr/>
              <w:t>Less segment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bookmarkStart w:id="1224" w:name="xdx_402_eus-gaap--GeneralAndAdministrati"/>
            <w:bookmarkEnd w:id="1224"/>
          </w:p>
        </w:tc>
      </w:tr>
      <w:tr>
        <w:trPr/>
        <w:tc>
          <w:tcPr>
            <w:tcW w:w="5746"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6,719</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7,691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15,602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8,579</w:t>
            </w:r>
          </w:p>
        </w:tc>
        <w:tc>
          <w:tcPr>
            <w:tcW w:w="118" w:type="dxa"/>
            <w:tcBorders/>
            <w:shd w:fill="CCEEFF" w:val="clear"/>
            <w:vAlign w:val="center"/>
          </w:tcPr>
          <w:p>
            <w:pPr>
              <w:pStyle w:val="TableContents"/>
              <w:bidi w:val="0"/>
              <w:spacing w:before="0" w:after="283"/>
              <w:jc w:val="left"/>
              <w:rPr/>
            </w:pPr>
            <w:r>
              <w:rPr/>
              <w:t> </w:t>
            </w:r>
            <w:bookmarkStart w:id="1225" w:name="xdx_406_ecustom--GeneralAndAdministrativ"/>
            <w:bookmarkEnd w:id="1225"/>
          </w:p>
        </w:tc>
      </w:tr>
      <w:tr>
        <w:trPr/>
        <w:tc>
          <w:tcPr>
            <w:tcW w:w="5746" w:type="dxa"/>
            <w:tcBorders/>
            <w:shd w:fill="FFFFFF" w:val="clear"/>
            <w:vAlign w:val="center"/>
          </w:tcPr>
          <w:p>
            <w:pPr>
              <w:pStyle w:val="TableContents"/>
              <w:bidi w:val="0"/>
              <w:spacing w:before="0" w:after="283"/>
              <w:jc w:val="left"/>
              <w:rPr/>
            </w:pPr>
            <w:r>
              <w:rPr/>
              <w:t>General and administrative - stock-based compensation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7,117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12,120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32,487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14,194</w:t>
            </w:r>
          </w:p>
        </w:tc>
        <w:tc>
          <w:tcPr>
            <w:tcW w:w="118" w:type="dxa"/>
            <w:tcBorders/>
            <w:shd w:fill="FFFFFF" w:val="clear"/>
            <w:vAlign w:val="center"/>
          </w:tcPr>
          <w:p>
            <w:pPr>
              <w:pStyle w:val="TableContents"/>
              <w:bidi w:val="0"/>
              <w:spacing w:before="0" w:after="283"/>
              <w:jc w:val="left"/>
              <w:rPr/>
            </w:pPr>
            <w:r>
              <w:rPr/>
              <w:t> </w:t>
            </w:r>
            <w:bookmarkStart w:id="1226" w:name="xdx_408_eus-gaap--DepreciationAndAmortiz"/>
            <w:bookmarkEnd w:id="1226"/>
          </w:p>
        </w:tc>
      </w:tr>
      <w:tr>
        <w:trPr/>
        <w:tc>
          <w:tcPr>
            <w:tcW w:w="5746"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1,471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2,963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577</w:t>
            </w:r>
          </w:p>
        </w:tc>
        <w:tc>
          <w:tcPr>
            <w:tcW w:w="118" w:type="dxa"/>
            <w:tcBorders/>
            <w:shd w:fill="CCEEFF" w:val="clear"/>
            <w:vAlign w:val="center"/>
          </w:tcPr>
          <w:p>
            <w:pPr>
              <w:pStyle w:val="TableContents"/>
              <w:bidi w:val="0"/>
              <w:spacing w:before="0" w:after="283"/>
              <w:jc w:val="left"/>
              <w:rPr/>
            </w:pPr>
            <w:r>
              <w:rPr/>
              <w:t> </w:t>
            </w:r>
            <w:bookmarkStart w:id="1227" w:name="xdx_402_eus-gaap--OperatingExpenses_i01N"/>
            <w:bookmarkEnd w:id="1227"/>
          </w:p>
        </w:tc>
      </w:tr>
      <w:tr>
        <w:trPr/>
        <w:tc>
          <w:tcPr>
            <w:tcW w:w="5746" w:type="dxa"/>
            <w:tcBorders/>
            <w:shd w:fill="FFFFFF" w:val="clear"/>
            <w:vAlign w:val="center"/>
          </w:tcPr>
          <w:p>
            <w:pPr>
              <w:pStyle w:val="TableContents"/>
              <w:bidi w:val="0"/>
              <w:spacing w:before="0" w:after="283"/>
              <w:jc w:val="left"/>
              <w:rPr/>
            </w:pPr>
            <w:r>
              <w:rPr/>
              <w:t>Total operating and segment expense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15,307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20,365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51,052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23,350</w:t>
            </w:r>
          </w:p>
        </w:tc>
        <w:tc>
          <w:tcPr>
            <w:tcW w:w="118" w:type="dxa"/>
            <w:tcBorders/>
            <w:shd w:fill="FFFFFF" w:val="clear"/>
            <w:vAlign w:val="center"/>
          </w:tcPr>
          <w:p>
            <w:pPr>
              <w:pStyle w:val="TableContents"/>
              <w:bidi w:val="0"/>
              <w:spacing w:before="0" w:after="283"/>
              <w:jc w:val="left"/>
              <w:rPr/>
            </w:pPr>
            <w:r>
              <w:rPr/>
              <w:t> </w:t>
            </w:r>
          </w:p>
        </w:tc>
      </w:tr>
      <w:tr>
        <w:trPr/>
        <w:tc>
          <w:tcPr>
            <w:tcW w:w="5746" w:type="dxa"/>
            <w:tcBorders/>
            <w:shd w:fill="CCEEFF" w:val="clear"/>
            <w:vAlign w:val="center"/>
          </w:tcPr>
          <w:p>
            <w:pPr>
              <w:pStyle w:val="TableContents"/>
              <w:bidi w:val="0"/>
              <w:spacing w:before="0" w:after="283"/>
              <w:jc w:val="left"/>
              <w:rPr/>
            </w:pPr>
            <w:r>
              <w:rPr/>
              <w:t>Plus: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bookmarkStart w:id="1228" w:name="xdx_404_eus-gaap--InterestIncomeExpenseN"/>
            <w:bookmarkEnd w:id="1228"/>
          </w:p>
        </w:tc>
      </w:tr>
      <w:tr>
        <w:trPr/>
        <w:tc>
          <w:tcPr>
            <w:tcW w:w="5746" w:type="dxa"/>
            <w:tcBorders/>
            <w:shd w:fill="FFFFFF" w:val="clear"/>
            <w:vAlign w:val="center"/>
          </w:tcPr>
          <w:p>
            <w:pPr>
              <w:pStyle w:val="TableContents"/>
              <w:bidi w:val="0"/>
              <w:spacing w:before="0" w:after="283"/>
              <w:jc w:val="left"/>
              <w:rPr/>
            </w:pPr>
            <w:r>
              <w:rPr/>
              <w:t>Interest (expense) income,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(12,198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13</w:t>
            </w:r>
          </w:p>
        </w:tc>
        <w:tc>
          <w:tcPr>
            <w:tcW w:w="118" w:type="dxa"/>
            <w:tcBorders/>
            <w:shd w:fill="FFFFFF" w:val="clear"/>
            <w:vAlign w:val="center"/>
          </w:tcPr>
          <w:p>
            <w:pPr>
              <w:pStyle w:val="TableContents"/>
              <w:bidi w:val="0"/>
              <w:spacing w:before="0" w:after="283"/>
              <w:jc w:val="left"/>
              <w:rPr/>
            </w:pPr>
            <w:r>
              <w:rPr/>
              <w:t> </w:t>
            </w:r>
            <w:bookmarkStart w:id="1229" w:name="xdx_408_eus-gaap--DebtSecuritiesAvailabl"/>
            <w:bookmarkEnd w:id="1229"/>
          </w:p>
        </w:tc>
      </w:tr>
      <w:tr>
        <w:trPr/>
        <w:tc>
          <w:tcPr>
            <w:tcW w:w="5746" w:type="dxa"/>
            <w:tcBorders/>
            <w:shd w:fill="CCEEFF" w:val="clear"/>
            <w:vAlign w:val="center"/>
          </w:tcPr>
          <w:p>
            <w:pPr>
              <w:pStyle w:val="TableContents"/>
              <w:bidi w:val="0"/>
              <w:spacing w:before="0" w:after="283"/>
              <w:jc w:val="left"/>
              <w:rPr/>
            </w:pPr>
            <w:r>
              <w:rPr/>
              <w:t>Realized gain on sale of gold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bookmarkStart w:id="1230" w:name="xdx_404_ecustom--RealizedGainOnMarketabl"/>
            <w:bookmarkEnd w:id="1230"/>
          </w:p>
        </w:tc>
      </w:tr>
      <w:tr>
        <w:trPr/>
        <w:tc>
          <w:tcPr>
            <w:tcW w:w="5746" w:type="dxa"/>
            <w:tcBorders/>
            <w:shd w:fill="FFFFFF" w:val="clear"/>
            <w:vAlign w:val="center"/>
          </w:tcPr>
          <w:p>
            <w:pPr>
              <w:pStyle w:val="TableContents"/>
              <w:bidi w:val="0"/>
              <w:spacing w:before="0" w:after="283"/>
              <w:jc w:val="left"/>
              <w:rPr/>
            </w:pPr>
            <w:r>
              <w:rPr/>
              <w:t>Realized (loss) gain on marketable securities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(106</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bookmarkStart w:id="1231" w:name="xdx_40A_eus-gaap--EquitySecuritiesFvNiGa"/>
            <w:bookmarkEnd w:id="1231"/>
          </w:p>
        </w:tc>
      </w:tr>
      <w:tr>
        <w:trPr/>
        <w:tc>
          <w:tcPr>
            <w:tcW w:w="5746" w:type="dxa"/>
            <w:tcBorders/>
            <w:shd w:fill="CCEEFF" w:val="clear"/>
            <w:vAlign w:val="center"/>
          </w:tcPr>
          <w:p>
            <w:pPr>
              <w:pStyle w:val="TableContents"/>
              <w:bidi w:val="0"/>
              <w:spacing w:before="0" w:after="283"/>
              <w:jc w:val="left"/>
              <w:rPr/>
            </w:pPr>
            <w:r>
              <w:rPr/>
              <w:t>Change in fair value of marketable securities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bookmarkStart w:id="1232" w:name="xdx_40C_eus-gaap--EmbeddedDerivativeGain"/>
            <w:bookmarkEnd w:id="1232"/>
          </w:p>
        </w:tc>
      </w:tr>
      <w:tr>
        <w:trPr/>
        <w:tc>
          <w:tcPr>
            <w:tcW w:w="5746" w:type="dxa"/>
            <w:tcBorders/>
            <w:shd w:fill="FFFFFF" w:val="clear"/>
            <w:vAlign w:val="center"/>
          </w:tcPr>
          <w:p>
            <w:pPr>
              <w:pStyle w:val="TableContents"/>
              <w:bidi w:val="0"/>
              <w:spacing w:before="0" w:after="283"/>
              <w:jc w:val="left"/>
              <w:rPr/>
            </w:pPr>
            <w:r>
              <w:rPr/>
              <w:t>Change in fair value of embedded derivative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bookmarkStart w:id="1233" w:name="xdx_402_eus-gaap--InterestExpenseJuniorS"/>
            <w:bookmarkEnd w:id="1233"/>
          </w:p>
        </w:tc>
      </w:tr>
      <w:tr>
        <w:trPr/>
        <w:tc>
          <w:tcPr>
            <w:tcW w:w="5746" w:type="dxa"/>
            <w:tcBorders/>
            <w:shd w:fill="CCEEFF" w:val="clear"/>
            <w:vAlign w:val="center"/>
          </w:tcPr>
          <w:p>
            <w:pPr>
              <w:pStyle w:val="TableContents"/>
              <w:bidi w:val="0"/>
              <w:spacing w:before="0" w:after="283"/>
              <w:jc w:val="left"/>
              <w:rPr/>
            </w:pPr>
            <w:r>
              <w:rPr/>
              <w:t>Realized loss on extinguishment of convertible debenture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(3,057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bookmarkStart w:id="1234" w:name="xdx_40C_eus-gaap--GainsLossesOnExtinguis"/>
            <w:bookmarkEnd w:id="1234"/>
          </w:p>
        </w:tc>
      </w:tr>
      <w:tr>
        <w:trPr/>
        <w:tc>
          <w:tcPr>
            <w:tcW w:w="5746" w:type="dxa"/>
            <w:tcBorders/>
            <w:shd w:fill="FFFFFF" w:val="clear"/>
            <w:vAlign w:val="center"/>
          </w:tcPr>
          <w:p>
            <w:pPr>
              <w:pStyle w:val="TableContents"/>
              <w:bidi w:val="0"/>
              <w:spacing w:before="0" w:after="283"/>
              <w:jc w:val="left"/>
              <w:rPr/>
            </w:pPr>
            <w:r>
              <w:rPr/>
              <w:t>(Loss) gain on settlement and forgiveness of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196</w:t>
            </w:r>
          </w:p>
        </w:tc>
        <w:tc>
          <w:tcPr>
            <w:tcW w:w="118" w:type="dxa"/>
            <w:tcBorders/>
            <w:shd w:fill="FFFFFF" w:val="clear"/>
            <w:vAlign w:val="center"/>
          </w:tcPr>
          <w:p>
            <w:pPr>
              <w:pStyle w:val="TableContents"/>
              <w:bidi w:val="0"/>
              <w:spacing w:before="0" w:after="283"/>
              <w:jc w:val="left"/>
              <w:rPr/>
            </w:pPr>
            <w:r>
              <w:rPr/>
              <w:t> </w:t>
            </w:r>
            <w:bookmarkStart w:id="1235" w:name="xdx_401_eus-gaap--OtherNonoperatingIncom"/>
            <w:bookmarkEnd w:id="1235"/>
          </w:p>
        </w:tc>
      </w:tr>
      <w:tr>
        <w:trPr/>
        <w:tc>
          <w:tcPr>
            <w:tcW w:w="5746"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200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118" w:type="dxa"/>
            <w:tcBorders/>
            <w:shd w:fill="CCEEFF" w:val="clear"/>
            <w:vAlign w:val="center"/>
          </w:tcPr>
          <w:p>
            <w:pPr>
              <w:pStyle w:val="TableContents"/>
              <w:bidi w:val="0"/>
              <w:spacing w:before="0" w:after="283"/>
              <w:jc w:val="left"/>
              <w:rPr/>
            </w:pPr>
            <w:r>
              <w:rPr/>
              <w:t>)</w:t>
            </w:r>
            <w:bookmarkStart w:id="1236" w:name="xdx_400_eus-gaap--NonoperatingIncomeExpe"/>
            <w:bookmarkEnd w:id="1236"/>
          </w:p>
        </w:tc>
      </w:tr>
      <w:tr>
        <w:trPr/>
        <w:tc>
          <w:tcPr>
            <w:tcW w:w="5746" w:type="dxa"/>
            <w:tcBorders/>
            <w:shd w:fill="FFFFFF" w:val="clear"/>
            <w:vAlign w:val="center"/>
          </w:tcPr>
          <w:p>
            <w:pPr>
              <w:pStyle w:val="TableContents"/>
              <w:bidi w:val="0"/>
              <w:spacing w:before="0" w:after="283"/>
              <w:jc w:val="left"/>
              <w:rPr/>
            </w:pPr>
            <w:r>
              <w:rPr/>
              <w:t>Total other income (expense)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pPr>
            <w:r>
              <w:rPr/>
              <w:t>105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(11,409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181</w:t>
            </w:r>
          </w:p>
        </w:tc>
        <w:tc>
          <w:tcPr>
            <w:tcW w:w="118" w:type="dxa"/>
            <w:tcBorders/>
            <w:shd w:fill="FFFFFF" w:val="clear"/>
            <w:vAlign w:val="center"/>
          </w:tcPr>
          <w:p>
            <w:pPr>
              <w:pStyle w:val="TableContents"/>
              <w:bidi w:val="0"/>
              <w:spacing w:before="0" w:after="283"/>
              <w:jc w:val="left"/>
              <w:rPr/>
            </w:pPr>
            <w:r>
              <w:rPr/>
              <w:t> </w:t>
            </w:r>
            <w:bookmarkStart w:id="1237" w:name="xdx_40F_eus-gaap--IncomeTaxExpenseBenefi"/>
            <w:bookmarkEnd w:id="1237"/>
          </w:p>
        </w:tc>
      </w:tr>
      <w:tr>
        <w:trPr/>
        <w:tc>
          <w:tcPr>
            <w:tcW w:w="5746" w:type="dxa"/>
            <w:tcBorders/>
            <w:shd w:fill="CCEEFF" w:val="clear"/>
            <w:vAlign w:val="center"/>
          </w:tcPr>
          <w:p>
            <w:pPr>
              <w:pStyle w:val="TableContents"/>
              <w:bidi w:val="0"/>
              <w:spacing w:before="0" w:after="283"/>
              <w:jc w:val="left"/>
              <w:rPr/>
            </w:pPr>
            <w:r>
              <w:rPr/>
              <w:t>Income taxes (benefit)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(505</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(1,070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bookmarkStart w:id="1238" w:name="xdx_408_eus-gaap--ProfitLoss_iT_pn3n3_zS"/>
            <w:bookmarkEnd w:id="1238"/>
          </w:p>
        </w:tc>
      </w:tr>
      <w:tr>
        <w:trPr/>
        <w:tc>
          <w:tcPr>
            <w:tcW w:w="5746" w:type="dxa"/>
            <w:tcBorders/>
            <w:shd w:fill="FFFFFF" w:val="clear"/>
            <w:vAlign w:val="center"/>
          </w:tcPr>
          <w:p>
            <w:pPr>
              <w:pStyle w:val="TableContents"/>
              <w:bidi w:val="0"/>
              <w:spacing w:before="0" w:after="283"/>
              <w:jc w:val="left"/>
              <w:rPr/>
            </w:pPr>
            <w:r>
              <w:rPr/>
              <w:t>Segment net loss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pPr>
            <w:r>
              <w:rPr/>
              <w:t>(14,551</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pPr>
            <w:r>
              <w:rPr/>
              <w:t>(20,368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(61,245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(23,169</w:t>
            </w:r>
          </w:p>
        </w:tc>
        <w:tc>
          <w:tcPr>
            <w:tcW w:w="118" w:type="dxa"/>
            <w:tcBorders/>
            <w:shd w:fill="FFFFFF" w:val="clear"/>
            <w:vAlign w:val="center"/>
          </w:tcPr>
          <w:p>
            <w:pPr>
              <w:pStyle w:val="TableContents"/>
              <w:bidi w:val="0"/>
              <w:spacing w:before="0" w:after="283"/>
              <w:jc w:val="left"/>
              <w:rPr/>
            </w:pPr>
            <w:r>
              <w:rPr/>
              <w:t>)</w:t>
            </w:r>
            <w:bookmarkStart w:id="1239" w:name="xdx_407_eus-gaap--NetIncomeLossAttributa"/>
            <w:bookmarkEnd w:id="1239"/>
          </w:p>
        </w:tc>
      </w:tr>
      <w:tr>
        <w:trPr/>
        <w:tc>
          <w:tcPr>
            <w:tcW w:w="5746"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118" w:type="dxa"/>
            <w:tcBorders/>
            <w:shd w:fill="CCEEFF" w:val="clear"/>
            <w:vAlign w:val="center"/>
          </w:tcPr>
          <w:p>
            <w:pPr>
              <w:pStyle w:val="TableContents"/>
              <w:bidi w:val="0"/>
              <w:spacing w:before="0" w:after="283"/>
              <w:jc w:val="left"/>
              <w:rPr/>
            </w:pPr>
            <w:r>
              <w:rPr/>
              <w:t> </w:t>
            </w:r>
            <w:bookmarkStart w:id="1240" w:name="xdx_40B_eus-gaap--NetIncomeLoss_iT_pn3n3"/>
            <w:bookmarkEnd w:id="1240"/>
          </w:p>
        </w:tc>
      </w:tr>
      <w:tr>
        <w:trPr/>
        <w:tc>
          <w:tcPr>
            <w:tcW w:w="5746" w:type="dxa"/>
            <w:tcBorders/>
            <w:shd w:fill="FFFFFF" w:val="clear"/>
            <w:vAlign w:val="center"/>
          </w:tcPr>
          <w:p>
            <w:pPr>
              <w:pStyle w:val="TableContents"/>
              <w:bidi w:val="0"/>
              <w:spacing w:before="0" w:after="283"/>
              <w:jc w:val="left"/>
              <w:rPr/>
            </w:pPr>
            <w:r>
              <w:rPr/>
              <w:t>Net loss attributable to Streamex Corp.</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pPr>
            <w:r>
              <w:rPr/>
              <w:t>(14,552</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pPr>
            <w:r>
              <w:rPr/>
              <w:t>(20,372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FFFFFF" w:val="clear"/>
            <w:tcMar>
              <w:bottom w:w="28" w:type="dxa"/>
            </w:tcMar>
            <w:vAlign w:val="center"/>
          </w:tcPr>
          <w:p>
            <w:pPr>
              <w:pStyle w:val="TableContents"/>
              <w:bidi w:val="0"/>
              <w:spacing w:before="0" w:after="283"/>
              <w:jc w:val="right"/>
              <w:rPr/>
            </w:pPr>
            <w:r>
              <w:rPr/>
              <w:t>(61,245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FFFFFF" w:val="clear"/>
            <w:tcMar>
              <w:bottom w:w="28" w:type="dxa"/>
            </w:tcMar>
            <w:vAlign w:val="center"/>
          </w:tcPr>
          <w:p>
            <w:pPr>
              <w:pStyle w:val="TableContents"/>
              <w:bidi w:val="0"/>
              <w:spacing w:before="0" w:after="283"/>
              <w:jc w:val="right"/>
              <w:rPr/>
            </w:pPr>
            <w:r>
              <w:rPr/>
              <w:t>(23,185</w:t>
            </w:r>
          </w:p>
        </w:tc>
        <w:tc>
          <w:tcPr>
            <w:tcW w:w="118" w:type="dxa"/>
            <w:tcBorders/>
            <w:shd w:fill="FFFF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bookmarkStart w:id="1241" w:name="xdx_8AD_zHHbgdyPmZxi"/>
      <w:bookmarkEnd w:id="124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42" w:name="xdx_80C_eus-gaap--DebtDisclosureTextBloc"/>
      <w:bookmarkEnd w:id="1242"/>
      <w:r>
        <w:rPr>
          <w:rFonts w:ascii="Times New Roman;Times;Serif" w:hAnsi="Times New Roman;Times;Serif"/>
          <w:b/>
          <w:i w:val="false"/>
          <w:caps w:val="false"/>
          <w:smallCaps w:val="false"/>
          <w:sz w:val="20"/>
        </w:rPr>
        <w:t xml:space="preserve">NOTE 22 – </w:t>
      </w:r>
      <w:bookmarkStart w:id="1243" w:name="xdx_82C_zUgAXwU6Hw74"/>
      <w:bookmarkEnd w:id="1243"/>
      <w:r>
        <w:rPr>
          <w:rFonts w:ascii="Times New Roman;Times;Serif" w:hAnsi="Times New Roman;Times;Serif"/>
          <w:b/>
          <w:i w:val="false"/>
          <w:caps w:val="false"/>
          <w:smallCaps w:val="false"/>
          <w:sz w:val="20"/>
        </w:rPr>
        <w:t>CONVERTIBLE DEBENTURES AND RELATED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and December 17, 2025, the Company issued two tranches of senior secured convertible debentures to YA II PN, Ltd. (“Yorkville”) (collectively, the “Convertible Debentures”) with aggregate principal of $</w:t>
      </w:r>
      <w:bookmarkStart w:id="1244" w:name="xdx_900_eus-gaap--DebtInstrumentFaceAmou"/>
      <w:bookmarkStart w:id="1245" w:name="xdx_904_eus-gaap--DebtInstrumentFaceAmou"/>
      <w:bookmarkEnd w:id="1244"/>
      <w:bookmarkEnd w:id="1245"/>
      <w:r>
        <w:rPr>
          <w:rFonts w:ascii="Times New Roman;Times;Serif" w:hAnsi="Times New Roman;Times;Serif"/>
          <w:b w:val="false"/>
          <w:i w:val="false"/>
          <w:caps w:val="false"/>
          <w:smallCaps w:val="false"/>
          <w:sz w:val="20"/>
        </w:rPr>
        <w:t>50,000 (each tranche with principal of $</w:t>
      </w:r>
      <w:bookmarkStart w:id="1246" w:name="xdx_90C_eus-gaap--DebtInstrumentFaceAmou"/>
      <w:bookmarkStart w:id="1247" w:name="xdx_901_eus-gaap--DebtInstrumentFaceAmou"/>
      <w:bookmarkEnd w:id="1246"/>
      <w:bookmarkEnd w:id="1247"/>
      <w:r>
        <w:rPr>
          <w:rFonts w:ascii="Times New Roman;Times;Serif" w:hAnsi="Times New Roman;Times;Serif"/>
          <w:b w:val="false"/>
          <w:i w:val="false"/>
          <w:caps w:val="false"/>
          <w:smallCaps w:val="false"/>
          <w:sz w:val="20"/>
        </w:rPr>
        <w:t xml:space="preserve">25,000). Each debenture was issued at a purchase price of </w:t>
      </w:r>
      <w:bookmarkStart w:id="1248" w:name="xdx_904_eus-gaap--DebtInstrumentInterest"/>
      <w:bookmarkStart w:id="1249" w:name="xdx_906_eus-gaap--DebtInstrumentInterest"/>
      <w:bookmarkEnd w:id="1248"/>
      <w:bookmarkEnd w:id="1249"/>
      <w:r>
        <w:rPr>
          <w:rFonts w:ascii="Times New Roman;Times;Serif" w:hAnsi="Times New Roman;Times;Serif"/>
          <w:b w:val="false"/>
          <w:i w:val="false"/>
          <w:caps w:val="false"/>
          <w:smallCaps w:val="false"/>
          <w:sz w:val="20"/>
        </w:rPr>
        <w:t xml:space="preserve">96% of principal, bore interest at </w:t>
      </w:r>
      <w:bookmarkStart w:id="1250" w:name="xdx_909_eus-gaap--DebtInstrumentInterest"/>
      <w:bookmarkStart w:id="1251" w:name="xdx_90C_eus-gaap--DebtInstrumentInterest"/>
      <w:bookmarkEnd w:id="1250"/>
      <w:bookmarkEnd w:id="1251"/>
      <w:r>
        <w:rPr>
          <w:rFonts w:ascii="Times New Roman;Times;Serif" w:hAnsi="Times New Roman;Times;Serif"/>
          <w:b w:val="false"/>
          <w:i w:val="false"/>
          <w:caps w:val="false"/>
          <w:smallCaps w:val="false"/>
          <w:sz w:val="20"/>
        </w:rPr>
        <w:t xml:space="preserve">4.0% per annum (increasing to </w:t>
      </w:r>
      <w:bookmarkStart w:id="1252" w:name="xdx_907_eus-gaap--DebtInstrumentInterest"/>
      <w:bookmarkStart w:id="1253" w:name="xdx_90F_eus-gaap--DebtInstrumentInterest"/>
      <w:bookmarkEnd w:id="1252"/>
      <w:bookmarkEnd w:id="1253"/>
      <w:r>
        <w:rPr>
          <w:rFonts w:ascii="Times New Roman;Times;Serif" w:hAnsi="Times New Roman;Times;Serif"/>
          <w:b w:val="false"/>
          <w:i w:val="false"/>
          <w:caps w:val="false"/>
          <w:smallCaps w:val="false"/>
          <w:sz w:val="20"/>
        </w:rPr>
        <w:t>18.0% upon an event of default), and had a contractual maturity 24 months from issuance (November 4, 2027 and December 17, 2027, respectively). The Convertible Debentures were secured by first-priority liens on substantially all assets of the Company and were guaranteed by certain subsidiaries. Upon settlement in February 2026, all related security interests and liens were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could convert all or any portion of the outstanding principal and accrued interest into shares of the Company’s common stock at a conversion price equal to the lower of (i) a fixed price of $</w:t>
      </w:r>
      <w:bookmarkStart w:id="1254" w:name="xdx_900_eus-gaap--DebtInstrumentConverti"/>
      <w:bookmarkEnd w:id="1254"/>
      <w:r>
        <w:rPr>
          <w:rFonts w:ascii="Times New Roman;Times;Serif" w:hAnsi="Times New Roman;Times;Serif"/>
          <w:b w:val="false"/>
          <w:i w:val="false"/>
          <w:caps w:val="false"/>
          <w:smallCaps w:val="false"/>
          <w:sz w:val="20"/>
        </w:rPr>
        <w:t>6.016 per share, subject to a one-time downward-only reset following registration effectiveness, and (ii) 97% of the lowest daily volume-weighted average price (“VWAP”) during the three trading days immediately preceding conversion, subject to a $</w:t>
      </w:r>
      <w:bookmarkStart w:id="1255" w:name="xdx_908_eus-gaap--SharesIssuedPricePerSh"/>
      <w:bookmarkEnd w:id="1255"/>
      <w:r>
        <w:rPr>
          <w:rFonts w:ascii="Times New Roman;Times;Serif" w:hAnsi="Times New Roman;Times;Serif"/>
          <w:b w:val="false"/>
          <w:i w:val="false"/>
          <w:caps w:val="false"/>
          <w:smallCaps w:val="false"/>
          <w:sz w:val="20"/>
        </w:rPr>
        <w:t>4.00 per share floor price, in each case subject to customary anti-dilution adjustments. Conversions were subject to a beneficial ownership limitation (generally 4.99%) and an exchange cap tied to Nasdaq rules, unless stockholder approval was obtained or the limitation was otherwise waived pursuant to the debenture terms. If fully converted at the $</w:t>
      </w:r>
      <w:bookmarkStart w:id="1256" w:name="xdx_908_eus-gaap--SharesIssuedPricePerSh"/>
      <w:bookmarkEnd w:id="1256"/>
      <w:r>
        <w:rPr>
          <w:rFonts w:ascii="Times New Roman;Times;Serif" w:hAnsi="Times New Roman;Times;Serif"/>
          <w:b w:val="false"/>
          <w:i w:val="false"/>
          <w:caps w:val="false"/>
          <w:smallCaps w:val="false"/>
          <w:sz w:val="20"/>
        </w:rPr>
        <w:t>4.00 floor price, the $</w:t>
      </w:r>
      <w:bookmarkStart w:id="1257" w:name="xdx_908_eus-gaap--ConvertibleDebt_iI_pn3"/>
      <w:bookmarkEnd w:id="1257"/>
      <w:r>
        <w:rPr>
          <w:rFonts w:ascii="Times New Roman;Times;Serif" w:hAnsi="Times New Roman;Times;Serif"/>
          <w:b w:val="false"/>
          <w:i w:val="false"/>
          <w:caps w:val="false"/>
          <w:smallCaps w:val="false"/>
          <w:sz w:val="20"/>
        </w:rPr>
        <w:t xml:space="preserve">50,000 principal amount of the Convertible Debentures would have been convertible into a maximum of </w:t>
      </w:r>
      <w:bookmarkStart w:id="1258" w:name="xdx_90B_eus-gaap--StockIssuedDuringPerio"/>
      <w:bookmarkEnd w:id="1258"/>
      <w:r>
        <w:rPr>
          <w:rFonts w:ascii="Times New Roman;Times;Serif" w:hAnsi="Times New Roman;Times;Serif"/>
          <w:b w:val="false"/>
          <w:i w:val="false"/>
          <w:caps w:val="false"/>
          <w:smallCaps w:val="false"/>
          <w:sz w:val="20"/>
        </w:rPr>
        <w:t>12,500,000 shares of the Company’s common stock, exclusive of any shares issuable for accrued interest or premiums. The Company did not register any shares for issuance under the Convertible Debentures and elected to utilize its optional cash settlement provisions in February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Embedded Derivative Liability — Conversion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that the holder’s optional conversion feature required bifurcation as an embedded derivative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because (i) the economic characteristics of the conversion feature were not clearly and closely related to the host debt instrument and (ii) the conversion feature did not qualify for equity classification due to its variable conversion pricing mechanics, including VWAP-based pricing, floor price provisions, and reset features. The embedded conversion option was accounted for separately as a derivative liability measured at fair value, with changes in fair value recognized in earnings each reporting period. At issuance, the Company allocated proceeds between the host debt and the embedded derivative based on relative fair value, with the derivative recorded as a liability and a corresponding amount recorded as a debt discount on the host debenture. This debt discount was amortized to interest expense using the effective interest method. The Company does not designate any derivative instruments as hedging instruments for accounting purposes and does not apply hedge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embedded derivative liability was measured at fair value on a recurring basis using significant unobservable inputs (Level 3), estimated using a Monte Carlo simulation within a “with-and-without” framework that captured the instrument’s variable conversion pricing, floor price, amortization, and prepayment features. During the six months ended June 30, 2026, the Company recognized a gain of $</w:t>
      </w:r>
      <w:bookmarkStart w:id="1259" w:name="xdx_90C_eus-gaap--EmbeddedDerivativeGain"/>
      <w:bookmarkEnd w:id="1259"/>
      <w:r>
        <w:rPr>
          <w:rFonts w:ascii="Times New Roman;Times;Serif" w:hAnsi="Times New Roman;Times;Serif"/>
          <w:b w:val="false"/>
          <w:i w:val="false"/>
          <w:caps w:val="false"/>
          <w:smallCaps w:val="false"/>
          <w:sz w:val="20"/>
        </w:rPr>
        <w:t>497 from the change in the fair value of the embedded derivative liability prior to its derecognition. Upon settlement of the Convertible Debentures on February 6, 2026, the Company derecognized the remaining embedded derivative liability of $</w:t>
      </w:r>
      <w:bookmarkStart w:id="1260" w:name="xdx_909_eus-gaap--EmbeddedDerivativeFair"/>
      <w:bookmarkEnd w:id="1260"/>
      <w:r>
        <w:rPr>
          <w:rFonts w:ascii="Times New Roman;Times;Serif" w:hAnsi="Times New Roman;Times;Serif"/>
          <w:b w:val="false"/>
          <w:i w:val="false"/>
          <w:caps w:val="false"/>
          <w:smallCaps w:val="false"/>
          <w:sz w:val="20"/>
        </w:rPr>
        <w:t>1,203, resulting in a $</w:t>
      </w:r>
      <w:bookmarkStart w:id="1261" w:name="xdx_903_eus-gaap--EmbeddedDerivativeLoss"/>
      <w:bookmarkEnd w:id="1261"/>
      <w:r>
        <w:rPr>
          <w:rFonts w:ascii="Times New Roman;Times;Serif" w:hAnsi="Times New Roman;Times;Serif"/>
          <w:b w:val="false"/>
          <w:i w:val="false"/>
          <w:caps w:val="false"/>
          <w:smallCaps w:val="false"/>
          <w:sz w:val="20"/>
        </w:rPr>
        <w:t>443 gain on derecognition that is included as a component of, and is presented net within, the $</w:t>
      </w:r>
      <w:bookmarkStart w:id="1262" w:name="xdx_906_eus-gaap--GainsLossesOnExtinguis"/>
      <w:bookmarkEnd w:id="1262"/>
      <w:r>
        <w:rPr>
          <w:rFonts w:ascii="Times New Roman;Times;Serif" w:hAnsi="Times New Roman;Times;Serif"/>
          <w:b w:val="false"/>
          <w:i w:val="false"/>
          <w:caps w:val="false"/>
          <w:smallCaps w:val="false"/>
          <w:sz w:val="20"/>
        </w:rPr>
        <w:t>3,057 loss on extinguishment of the Convertible Debentures described under Settlement below. For the Level 3 fair value rollforward and the significant unobservable inputs used, see Note 14 — Fair Value Measurements.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Yorkville converted $</w:t>
      </w:r>
      <w:bookmarkStart w:id="1263" w:name="xdx_90F_eus-gaap--DebtConversionConverte"/>
      <w:bookmarkEnd w:id="1263"/>
      <w:r>
        <w:rPr>
          <w:rFonts w:ascii="Times New Roman;Times;Serif" w:hAnsi="Times New Roman;Times;Serif"/>
          <w:b w:val="false"/>
          <w:i w:val="false"/>
          <w:caps w:val="false"/>
          <w:smallCaps w:val="false"/>
          <w:sz w:val="20"/>
        </w:rPr>
        <w:t xml:space="preserve">15,000 of principal into </w:t>
      </w:r>
      <w:bookmarkStart w:id="1264" w:name="xdx_902_eus-gaap--StockIssuedDuringPerio"/>
      <w:bookmarkEnd w:id="1264"/>
      <w:r>
        <w:rPr>
          <w:rFonts w:ascii="Times New Roman;Times;Serif" w:hAnsi="Times New Roman;Times;Serif"/>
          <w:b w:val="false"/>
          <w:i w:val="false"/>
          <w:caps w:val="false"/>
          <w:smallCaps w:val="false"/>
          <w:sz w:val="20"/>
        </w:rPr>
        <w:t>3,750,000 shares of the Company’s common stock at a conversion price of $</w:t>
      </w:r>
      <w:bookmarkStart w:id="1265" w:name="xdx_90C_eus-gaap--DebtInstrumentConverti"/>
      <w:bookmarkEnd w:id="1265"/>
      <w:r>
        <w:rPr>
          <w:rFonts w:ascii="Times New Roman;Times;Serif" w:hAnsi="Times New Roman;Times;Serif"/>
          <w:b w:val="false"/>
          <w:i w:val="false"/>
          <w:caps w:val="false"/>
          <w:smallCaps w:val="false"/>
          <w:sz w:val="20"/>
        </w:rPr>
        <w:t>4.00 per share. No accrued interest was converted. The Company subsequently paid approximately $</w:t>
      </w:r>
      <w:bookmarkStart w:id="1266" w:name="xdx_901_eus-gaap--Cash_iI_pn3n3_c2026020"/>
      <w:bookmarkEnd w:id="1266"/>
      <w:r>
        <w:rPr>
          <w:rFonts w:ascii="Times New Roman;Times;Serif" w:hAnsi="Times New Roman;Times;Serif"/>
          <w:b w:val="false"/>
          <w:i w:val="false"/>
          <w:caps w:val="false"/>
          <w:smallCaps w:val="false"/>
          <w:sz w:val="20"/>
        </w:rPr>
        <w:t>38,903 in cash to settle the remaining obligations under the Convertible Debentures, consisting of $</w:t>
      </w:r>
      <w:bookmarkStart w:id="1267" w:name="xdx_902_eus-gaap--DebtInstrumentFaceAmou"/>
      <w:bookmarkEnd w:id="1267"/>
      <w:r>
        <w:rPr>
          <w:rFonts w:ascii="Times New Roman;Times;Serif" w:hAnsi="Times New Roman;Times;Serif"/>
          <w:b w:val="false"/>
          <w:i w:val="false"/>
          <w:caps w:val="false"/>
          <w:smallCaps w:val="false"/>
          <w:sz w:val="20"/>
        </w:rPr>
        <w:t>35,000 of principal, a $</w:t>
      </w:r>
      <w:bookmarkStart w:id="1268" w:name="xdx_901_eus-gaap--DebtInstrumentPeriodic"/>
      <w:bookmarkEnd w:id="1268"/>
      <w:r>
        <w:rPr>
          <w:rFonts w:ascii="Times New Roman;Times;Serif" w:hAnsi="Times New Roman;Times;Serif"/>
          <w:b w:val="false"/>
          <w:i w:val="false"/>
          <w:caps w:val="false"/>
          <w:smallCaps w:val="false"/>
          <w:sz w:val="20"/>
        </w:rPr>
        <w:t>3,500 prepayment premium, and approximately $</w:t>
      </w:r>
      <w:bookmarkStart w:id="1269" w:name="xdx_903_eus-gaap--DebtInstrumentIncrease"/>
      <w:bookmarkEnd w:id="1269"/>
      <w:r>
        <w:rPr>
          <w:rFonts w:ascii="Times New Roman;Times;Serif" w:hAnsi="Times New Roman;Times;Serif"/>
          <w:b w:val="false"/>
          <w:i w:val="false"/>
          <w:caps w:val="false"/>
          <w:smallCaps w:val="false"/>
          <w:sz w:val="20"/>
        </w:rPr>
        <w:t>403 of accrued interest. Of the accrued interest paid upon settlement, approximately $</w:t>
      </w:r>
      <w:bookmarkStart w:id="1270" w:name="xdx_90E_eus-gaap--InterestPayableCurrent"/>
      <w:bookmarkEnd w:id="1270"/>
      <w:r>
        <w:rPr>
          <w:rFonts w:ascii="Times New Roman;Times;Serif" w:hAnsi="Times New Roman;Times;Serif"/>
          <w:b w:val="false"/>
          <w:i w:val="false"/>
          <w:caps w:val="false"/>
          <w:smallCaps w:val="false"/>
          <w:sz w:val="20"/>
        </w:rPr>
        <w:t>200 related to interest accrued as of December 31, 2025 and approximately $</w:t>
      </w:r>
      <w:bookmarkStart w:id="1271" w:name="xdx_909_eus-gaap--InterestPayableCurrent"/>
      <w:bookmarkEnd w:id="1271"/>
      <w:r>
        <w:rPr>
          <w:rFonts w:ascii="Times New Roman;Times;Serif" w:hAnsi="Times New Roman;Times;Serif"/>
          <w:b w:val="false"/>
          <w:i w:val="false"/>
          <w:caps w:val="false"/>
          <w:smallCaps w:val="false"/>
          <w:sz w:val="20"/>
        </w:rPr>
        <w:t>203 was recognized as contractual interest expense during the six months ended June 30, 2026. The Company recognized a loss on extinguishment of the Convertible Debentures of $</w:t>
      </w:r>
      <w:bookmarkStart w:id="1272" w:name="xdx_900_eus-gaap--GainsLossesOnExtinguis"/>
      <w:bookmarkEnd w:id="1272"/>
      <w:r>
        <w:rPr>
          <w:rFonts w:ascii="Times New Roman;Times;Serif" w:hAnsi="Times New Roman;Times;Serif"/>
          <w:b w:val="false"/>
          <w:i w:val="false"/>
          <w:caps w:val="false"/>
          <w:smallCaps w:val="false"/>
          <w:sz w:val="20"/>
        </w:rPr>
        <w:t>3,057. Upon settlement, the Convertible Debentures were satisfied and terminated, and all related security interests and liens were released. See Note 2 — Liquidity and Note 16 — Stockholders’ Equity for additional information regarding the February 2026 conversion and settlement of the Convertible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Carrying Amount and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29, 2025, management committed to a plan to settle the Convertible Debentures in early 2026, which constituted a change in the estimated life of the instruments. The Company prospectively recalculated the effective interest rates based on the revised expected settlement date of February 6, 2026, which resulted in effective interest rates that substantially exceeded the </w:t>
      </w:r>
      <w:bookmarkStart w:id="1273" w:name="xdx_900_eus-gaap--DebtInstrumentInterest"/>
      <w:bookmarkEnd w:id="1273"/>
      <w:r>
        <w:rPr>
          <w:rFonts w:ascii="Times New Roman;Times;Serif" w:hAnsi="Times New Roman;Times;Serif"/>
          <w:b w:val="false"/>
          <w:i w:val="false"/>
          <w:caps w:val="false"/>
          <w:smallCaps w:val="false"/>
          <w:sz w:val="20"/>
        </w:rPr>
        <w:t>4.0% stated coupon rate. For the six months ended June 30, 2026, the Company recognized total interest expense of approximately $</w:t>
      </w:r>
      <w:bookmarkStart w:id="1274" w:name="xdx_901_eus-gaap--InterestIncomeExpenseN"/>
      <w:bookmarkEnd w:id="1274"/>
      <w:r>
        <w:rPr>
          <w:rFonts w:ascii="Times New Roman;Times;Serif" w:hAnsi="Times New Roman;Times;Serif"/>
          <w:b w:val="false"/>
          <w:i w:val="false"/>
          <w:caps w:val="false"/>
          <w:smallCaps w:val="false"/>
          <w:sz w:val="20"/>
        </w:rPr>
        <w:t>12,182 related to the Convertible Debentures, consisting of approximately $</w:t>
      </w:r>
      <w:bookmarkStart w:id="1275" w:name="xdx_900_ecustom--InterestAccruedContract"/>
      <w:bookmarkEnd w:id="1275"/>
      <w:r>
        <w:rPr>
          <w:rFonts w:ascii="Times New Roman;Times;Serif" w:hAnsi="Times New Roman;Times;Serif"/>
          <w:b w:val="false"/>
          <w:i w:val="false"/>
          <w:caps w:val="false"/>
          <w:smallCaps w:val="false"/>
          <w:sz w:val="20"/>
        </w:rPr>
        <w:t>203 of contractual interest and approximately $</w:t>
      </w:r>
      <w:bookmarkStart w:id="1276" w:name="xdx_90F_ecustom--NonCashInterestExpenses"/>
      <w:bookmarkEnd w:id="1276"/>
      <w:r>
        <w:rPr>
          <w:rFonts w:ascii="Times New Roman;Times;Serif" w:hAnsi="Times New Roman;Times;Serif"/>
          <w:b w:val="false"/>
          <w:i w:val="false"/>
          <w:caps w:val="false"/>
          <w:smallCaps w:val="false"/>
          <w:sz w:val="20"/>
        </w:rPr>
        <w:t>11,979 of non-cash interest expense from the amortization of debt discounts and issuance costs. As of June 30, 2026, the Convertible Debentures had been fully extinguished and derecognized in connection with the February 2026 settlement described above. Accordingly, no carrying amount related to the Convertible Debentures, including any unamortized original issue discount, debt issuance costs, or bifurcation-related discounts, remained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77" w:name="xdx_80C_eus-gaap--SubsequentEventsTextBl"/>
      <w:bookmarkEnd w:id="1277"/>
      <w:r>
        <w:rPr>
          <w:rFonts w:ascii="Times New Roman;Times;Serif" w:hAnsi="Times New Roman;Times;Serif"/>
          <w:b/>
          <w:i w:val="false"/>
          <w:caps w:val="false"/>
          <w:smallCaps w:val="false"/>
          <w:sz w:val="20"/>
        </w:rPr>
        <w:t>NOTE 23</w:t>
      </w:r>
      <w:r>
        <w:rPr>
          <w:rFonts w:ascii="Times New Roman;Times;Serif" w:hAnsi="Times New Roman;Times;Serif"/>
          <w:b w:val="false"/>
          <w:i w:val="false"/>
          <w:caps w:val="false"/>
          <w:smallCaps w:val="false"/>
          <w:sz w:val="20"/>
        </w:rPr>
        <w:t xml:space="preserve"> – </w:t>
      </w:r>
      <w:bookmarkStart w:id="1278" w:name="xdx_826_zDBIzOVxzAC8"/>
      <w:bookmarkEnd w:id="1278"/>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from the balance sheet date through the date on which these unaudited condensed consolidated financial statements were issued. Other than as described in the notes below, the Company did not have any material subsequent events that impacted its unaudited condensed consolidated financial statements or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8, 2026, the Audit Committee of the Board of Directors approved the appointment of EisnerAmper LLP as the Company’s independent registered public accounting firm, succeeding CBIZ CPAs P.C. The change was reported under Item 4.01 of a Current Report on Form 8-K and is also described in Part II, Item 5 of this Quarterly Report on Form 10-Q. The change had no effect on the Company’s unaudited condensed consolidated financial statements as of and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2026, the Board of Directors authorized a stock repurchase program permitting the repurchase of up to </w:t>
      </w:r>
      <w:bookmarkStart w:id="1279" w:name="xdx_902_eus-gaap--StockRepurchasedDuring"/>
      <w:bookmarkEnd w:id="1279"/>
      <w:r>
        <w:rPr>
          <w:rFonts w:ascii="Times New Roman;Times;Serif" w:hAnsi="Times New Roman;Times;Serif"/>
          <w:b w:val="false"/>
          <w:i w:val="false"/>
          <w:caps w:val="false"/>
          <w:smallCaps w:val="false"/>
          <w:sz w:val="20"/>
        </w:rPr>
        <w:t>10,000,000 shares of the Company’s common stock at a purchase price not exceeding $</w:t>
      </w:r>
      <w:bookmarkStart w:id="1280" w:name="xdx_909_eus-gaap--SharePrice_iI_c2026070"/>
      <w:bookmarkEnd w:id="1280"/>
      <w:r>
        <w:rPr>
          <w:rFonts w:ascii="Times New Roman;Times;Serif" w:hAnsi="Times New Roman;Times;Serif"/>
          <w:b w:val="false"/>
          <w:i w:val="false"/>
          <w:caps w:val="false"/>
          <w:smallCaps w:val="false"/>
          <w:sz w:val="20"/>
        </w:rPr>
        <w:t>2.00 per share. No shares had been repurchased under the authorization as of the filing date of this Quarterly Report on Form 10-Q. The Company’s liquidity assessment and going concern evaluation as of June 30, 2026 do not assume repurchases under the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GLDY Liquidity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2026, </w:t>
      </w:r>
      <w:bookmarkStart w:id="1281" w:name="xdx_90E_eus-gaap--SubsequentEventDescrip"/>
      <w:bookmarkEnd w:id="1281"/>
      <w:r>
        <w:rPr>
          <w:rFonts w:ascii="Times New Roman;Times;Serif" w:hAnsi="Times New Roman;Times;Serif"/>
          <w:b w:val="false"/>
          <w:i w:val="false"/>
          <w:caps w:val="false"/>
          <w:smallCaps w:val="false"/>
          <w:sz w:val="20"/>
        </w:rPr>
        <w:t>the Company disbursed 1,069 GLDY tokens and $</w:t>
      </w:r>
      <w:bookmarkStart w:id="1282" w:name="xdx_908_eus-gaap--ProceedsFromLoanOrigin"/>
      <w:bookmarkEnd w:id="1282"/>
      <w:r>
        <w:rPr>
          <w:rFonts w:ascii="Times New Roman;Times;Serif" w:hAnsi="Times New Roman;Times;Serif"/>
          <w:b w:val="false"/>
          <w:i w:val="false"/>
          <w:caps w:val="false"/>
          <w:smallCaps w:val="false"/>
          <w:sz w:val="20"/>
        </w:rPr>
        <w:t>5,000 of USDC to an independent proprietary trading firm under an interest-free loan agreement entered into on May 14, 2026 to support secondary-market liquidity for GLDY. Either party may terminate the agreement at any time on 30 days’ prior written notice, or immediately upon an event of default, and the loaned assets are then returnable within two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July 1, 2026 and August 14, 2026, an aggregate of </w:t>
      </w:r>
      <w:bookmarkStart w:id="1283" w:name="xdx_908_eus-gaap--ConversionOfStockShare"/>
      <w:bookmarkEnd w:id="1283"/>
      <w:r>
        <w:rPr>
          <w:rFonts w:ascii="Times New Roman;Times;Serif" w:hAnsi="Times New Roman;Times;Serif"/>
          <w:b w:val="false"/>
          <w:i w:val="false"/>
          <w:caps w:val="false"/>
          <w:smallCaps w:val="false"/>
          <w:sz w:val="20"/>
        </w:rPr>
        <w:t>645,578 Exchangeable Shares were converted into the same number of shares of the Company’s common stock by holders of Exchangeable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July 1, 2026 and August 14, 2026, the Company issued </w:t>
      </w:r>
      <w:bookmarkStart w:id="1284" w:name="xdx_903_eus-gaap--StockIssuedDuringPerio"/>
      <w:bookmarkEnd w:id="1284"/>
      <w:r>
        <w:rPr>
          <w:rFonts w:ascii="Times New Roman;Times;Serif" w:hAnsi="Times New Roman;Times;Serif"/>
          <w:b w:val="false"/>
          <w:i w:val="false"/>
          <w:caps w:val="false"/>
          <w:smallCaps w:val="false"/>
          <w:sz w:val="20"/>
        </w:rPr>
        <w:t xml:space="preserve">3,197,044 shares of common stock upon the vesting and settlement of restricted stock units and restricted stock awards, of which </w:t>
      </w:r>
      <w:bookmarkStart w:id="1285" w:name="xdx_905_eus-gaap--StockIssuedDuringPerio"/>
      <w:bookmarkEnd w:id="1285"/>
      <w:r>
        <w:rPr>
          <w:rFonts w:ascii="Times New Roman;Times;Serif" w:hAnsi="Times New Roman;Times;Serif"/>
          <w:b w:val="false"/>
          <w:i w:val="false"/>
          <w:caps w:val="false"/>
          <w:smallCaps w:val="false"/>
          <w:sz w:val="20"/>
        </w:rPr>
        <w:t>453,125 shares were issued to related parties, consisting of certain executive officers and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entered into amendments to previously granted restricted stock unit award agreements with the Company’s Chief Executive Officer, President, Chief Investment Officer and Chief Financial Officer, each of whom other than the Chief Financial Officer also serves as a member of the Board of Directors. The amendments modified the next quarterly vesting date of the unvested portions of those awards from July 2026 to August 1, 2026. The amendments did not change the number of units awarded, the settlement terms, or the overall vesting term of any award, and units that had vested prior to the effective date of the amendments were unaffected. The modifications did not result in incremental compensation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2026 and July 6, 2026, the Company granted restricted stock unit awards for an aggregate of </w:t>
      </w:r>
      <w:bookmarkStart w:id="1286" w:name="xdx_90B_eus-gaap--StockGrantedDuringPeri"/>
      <w:bookmarkStart w:id="1287" w:name="xdx_90E_eus-gaap--StockGrantedDuringPeri"/>
      <w:bookmarkEnd w:id="1286"/>
      <w:bookmarkEnd w:id="1287"/>
      <w:r>
        <w:rPr>
          <w:rFonts w:ascii="Times New Roman;Times;Serif" w:hAnsi="Times New Roman;Times;Serif"/>
          <w:b w:val="false"/>
          <w:i w:val="false"/>
          <w:caps w:val="false"/>
          <w:smallCaps w:val="false"/>
          <w:sz w:val="20"/>
        </w:rPr>
        <w:t>115,000 shares of common stock to two employees under the Company’s 2023 Equity Incentive Plan. The awards vest in equal quarterly installments over four years from the respective dates of grant, subject to continued service. No shares were issued in respect of these awards during the period from July 1, 2026 through August 14, 2026.</w:t>
      </w:r>
    </w:p>
    <w:p>
      <w:pPr>
        <w:pStyle w:val="TextBody"/>
        <w:bidi w:val="0"/>
        <w:spacing w:before="0" w:after="0"/>
        <w:jc w:val="center"/>
        <w:rPr>
          <w:caps w:val="false"/>
          <w:smallCaps w:val="false"/>
        </w:rPr>
      </w:pPr>
      <w:bookmarkStart w:id="1288" w:name="xdx_81A_zeMnFB62qE2f"/>
      <w:bookmarkEnd w:id="128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89" w:name="a_008"/>
      <w:bookmarkEnd w:id="1289"/>
      <w:r>
        <w:rPr>
          <w:rFonts w:ascii="Times New Roman;Times;Serif" w:hAnsi="Times New Roman;Times;Serif"/>
          <w:b/>
          <w:i w:val="false"/>
          <w:caps w:val="false"/>
          <w:smallCaps w:val="false"/>
          <w:sz w:val="20"/>
        </w:rPr>
        <w:t>ITEM 2. 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Discussion and Analysis of Financial Condition and Results of Operations includes a number of forward-looking statements that reflect 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current views with respect to future events and financial performance. You can identify these statements by forward-looking words such 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will,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anticipate,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believe,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estimate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continue,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 similar words. Those statements include statements regarding the intent, belief or current expectations of us and members of our management team as well as the assumptions on which such statements are based. Prospective investors are cautioned that any such forward-looking statements are not guarantees of future performance and involve risk and uncertainties, and that actual results may differ materially from those contemplated by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Readers are urged to carefully review and consider the various disclosures made by us in this report and in our other reports filed with the Securities and Exchange Commission. Important factors currently known to Management could cause actual results to differ materially from those in forward-looking statements. We undertake no obligation to update or revise forward-looking statements to reflect changed assumptions, the occurrence of unanticipated events or changes in the future operating results over time. We believe that our assumptions are based upon reasonable data derived from and known about our business and operations. No assurances are made that actual results of operations or the results of our future activities will not differ materially from our assumptions. Factors that could cause differences include, but are not limited to, expected market demand for our products, fluctuations in pricing for materials, and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Corp. (“Streamex,” the “Company,” “we,” or “us”) is developing digital infrastructure for the tokenization and exchange of real-world assets (“RWAs”), initially focused on physical gold and gold-linked financial products. Following our acquisition of Streamex Exchange Corporation (“Streamex Exchange”) on May 28, 2025, we expanded beyond our historical focus as a medical-device technology company. We conduct our tokenized gold program through Streamex Ltd., a Cayman Islands special-purpose entity that we consolidate as a variable interest entity (“VIE”) because we are its primary beneficiary. Streamex Ltd. issues GLDY tokens, which represent non-voting participating equity interests designed to provide holders with economic exposure to physical gold bullion and gold-denominated leasing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launched the GLDY token program, acquired physical gold bullion to back the program, earned our first gold lease income, and subscribed for a $2,000 interest in Metalayer Digital Fund I (“Metalayer”) funded in USDC digital assets, and we held $6,001 of digital assets (principally USDC) at June 30, 2026. We also completed a January 2026 underwritten public offering and settled our secured convertible debentures in February 2026, eliminating all outstanding debt. We operate as a single operating and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together with the Company’s unaudited condensed consolidated financial statements and accompanying notes included elsewhere in this Quarterly Report on Form 10-Q. All amounts in the discussion below are presented in thousands, except percentages, share amounts, and per-share data.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3695"/>
        <w:gridCol w:w="60"/>
        <w:gridCol w:w="140"/>
        <w:gridCol w:w="755"/>
        <w:gridCol w:w="95"/>
        <w:gridCol w:w="60"/>
        <w:gridCol w:w="140"/>
        <w:gridCol w:w="755"/>
        <w:gridCol w:w="95"/>
        <w:gridCol w:w="60"/>
        <w:gridCol w:w="179"/>
        <w:gridCol w:w="816"/>
        <w:gridCol w:w="95"/>
        <w:gridCol w:w="60"/>
        <w:gridCol w:w="107"/>
        <w:gridCol w:w="1008"/>
        <w:gridCol w:w="30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Gold lease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(5,975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(30.2</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165.5</w:t>
            </w:r>
          </w:p>
        </w:tc>
        <w:tc>
          <w:tcPr>
            <w:tcW w:w="30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(20,365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5,204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25.6</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(15,056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5,312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26.1</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(14,551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5,817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28.6</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Net loss attributable to Streamex Corp.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5,820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28.6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Gold Lease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lease income was $146 for the three months ended June 30, 2026, compared with no income in the prior-year period, which preceded the commencement of our gold-leasing activities. We earn this income by deploying our own physical gold into a third-party leasing program in exchange for a stated in-kind return; the arrangement is outside the scope of ASC 606 and is recognized over the lease term on an effective-yield basis, with a $54 gold-denominated receivable recorded at June 30, 2026 for yield earned but not yet settled in gold. Substantially all of our gold lease income, and the entire related receivable, is with a single counterparty; a loss of, or adverse change in, that relationship would eliminate or materially reduce our only current source of income. The current-period amount is not indicative of future results, which will depend on the quantity of gold accepted into leases, prevailing lease yields, settlement timing, investor adoption of GLDY, and platform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decreased by $5,975, or 30.2%, to $13,836 for the three months ended June 30, 2026 from $19,811 for the prior-year period. The decrease was driven primarily by a $5,003 decrease in stock-based compensation (to $7,117 from $12,120, a 41.3% decrease) and a $3,573 decrease in consulting and platform-development costs, partially offset by increases in marketing and investor relations cost of $1,234, personnel and board-related costs of $704, insurance cost of $498, legal and regulatory cost of $295, and accounting and audit cost of $234, and by decreases in public-company readiness costs of $247 and corporate infrastructure costs of $226. The lower stock-based compensation reflects the timing and vesting of prior-year equity grants, and the higher marketing, personnel, insurance, and professional costs reflect the build-out of our public-company and tokenization functions following the Streamex Exchange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increased $917, or 165.5%, to $1,471 for the three months ended June 30, 2026 from $554 for the prior-year period. The increase resulted primarily from a full quarter of amortization of the trade name, developed technology, legal and compliance framework, and other identifiable intangible assets recognized in the May 2025 Streamex Exchange acquisition. The prior-year period included only approximately one month of amortization following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was $105 for the three months ended June 30, 2026, compared with total other expense, net, of $3 for the prior-year period. The current-period amount consisted principally of $200 of other income, net (primarily foreign-currency and other individually immaterial items) and a $14 gain from changes in the fair value of marketable securities, partially offset by a $106 realized loss on marketable securities and $3 of net interest expense. Other income, net, is stated after a $172 unrealized loss on our investment in Metalayer, which we measure using the fund’s reported net asset value per share as a practical expedient for fair value.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an income tax benefit of $505 for the three months ended June 30, 2026, compared with none in the prior-year period. The benefit resulted primarily from the reversal of a portion of the deferred tax liability associated with amortization of the identifiable intangible assets recognized in the Streamex Exchange acquisition, which are held through our Canadian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and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$14,551 for the three months ended June 30, 2026, an improvement of $5,817, or 28.6%, from $20,368 for the prior-year period, driven primarily by lower operating expenses and the commencement of gold lease income. After net income attributable to noncontrolling interests of $1 and preferred stock dividends of $2, net loss attributable to common stockholders was $14,554 for the three months ended June 30, 2026, compared with $20,372 for the prior year period. Basic and diluted loss per share was $(0.08), compared with $(0.74), based on weighted-average common shares outstanding of 182,015,405 and 27,706,780, respectively. The increase in weighted-average shares reflects the January 2026 underwritten offering, the February 2026 conversion of debenture principal into common stock, and the inclusion of exchangeable shares in basic shares outstanding following our November 2025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3695"/>
        <w:gridCol w:w="60"/>
        <w:gridCol w:w="140"/>
        <w:gridCol w:w="755"/>
        <w:gridCol w:w="95"/>
        <w:gridCol w:w="60"/>
        <w:gridCol w:w="140"/>
        <w:gridCol w:w="755"/>
        <w:gridCol w:w="95"/>
        <w:gridCol w:w="60"/>
        <w:gridCol w:w="155"/>
        <w:gridCol w:w="840"/>
        <w:gridCol w:w="95"/>
        <w:gridCol w:w="60"/>
        <w:gridCol w:w="96"/>
        <w:gridCol w:w="1019"/>
        <w:gridCol w:w="30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Gold lease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25,316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111.2</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413.5</w:t>
            </w:r>
          </w:p>
        </w:tc>
        <w:tc>
          <w:tcPr>
            <w:tcW w:w="30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(27,556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(118.0</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(11,590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(62,315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(39,146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(169.0</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(38,076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(164.3</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Net loss attributable to Streamex Corp.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(61,245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(23,185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(38,060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(164.2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in-kind gold lease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lease income was $146 for the six months ended June 30, 2026, compared with no income in the prior-year period. The three-month and six-month amounts are the same because approximately $12 of gross in-kind gold lease income earned in the first quarter of 2026, comprising $11 of in-kind lease yield and $1 of contractual revenue share, but not recorded in our previously issued interim financial statements for that period, was recognized in the second quarter of 2026 as an out of period correction. Excluding that first-quarter catch-up, gold lease income earned in the second quarter of 2026 was approximately $134. Investors comparing sequential quarters should take this correction into account when assessing the trend in gold lease income. As with the quarterly period, substantially all of this income is concentrated in a single counterparty.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increased $25,316, or 111.2%, to $48,089 for the six months ended June 30, 2026 from $22,773 for the prior-year period. The increase was driven principally by an $18,293 increase in stock-based compensation (to $32,487 from $14,194, a 128.9% increase), together with increases in marketing and investor relations ($3,491), personnel and board-related costs ($2,995), insurance ($1,114), and combined legal, regulatory, accounting and audit costs ($1,594), partially offset by a $2,117 decrease in consulting and platform-development costs and smaller decreases in public-company ($45) and corporate infrastructure ($134) costs. The increases reflect the expansion of our executive, finance, legal, technology, compliance, and corporate functions, and the marketing and commercialization activities supporting the GLDY program, following the Streamex Exchange acquisition.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increased $2,386, or 413.5%, to $2,963 for the six months ended June 30, 2026 from $577 for the prior-year period, reflecting a full six months of amortization of the acquired identifiable intangible assets, compared with approximately one month in the prior-year period following the May 28, 2025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net, was $11,409 for the six months ended June 30, 2026, compared with total other income, net, of $181 for the prior-year period, an unfavorable change of $11,590. The change was driven principally by $12,198 of net interest expense — substantially all of which (approximately $203 of contractual interest and approximately $11,979 of non-cash amortization of debt discounts and issuance costs) related to the secured convertible debentures settled in February 2026 — and by a $3,057 loss on extinguishment of those debentures. These items were partially offset by a $2,938 realized gain on the February 2026 sale of previously pledged gold bullion, a $497 gain from the change in fair value of the debentures’ embedded derivative before its derecognition on settlement, and a $377 net realized gain on marketable securities (including the gain realized on the sale of our investment in Empress Royalty Corp.). Other income, net, of $153 is stated after the $172 unrealized loss on our Metalayer investment. Because the debentures were settled in the first quarter of 2026, the interest expense, extinguishment loss, and derivative fair-value changes that drove other expense for the six-month period are not expected to recur.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and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$61,245 for the six months ended June 30, 2026, an increase of $38,076, or 164.3%, from $23,169 for the prior-year period, driven principally by higher stock-based compensation and the debenture-related interest expense and extinguishment loss recognized in the first quarter of 2026. After preferred stock dividends of $4, net loss attributable to common stockholders was $61,249, compared with $23,185. Basic and diluted loss per share was $(0.34), compared with $(0.95), based on weighted-average common shares outstanding of 177,787,337 and 24,286,234, respectively. Potentially dilutive securities were excluded from diluted loss per share because their effect would have been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working capital of approximately $32,841 and cash of $5,605. For the six months ended June 30, 2026, we used $21,918 in operating activities, net cash provided by investing activities was $9,163 and net cash used in financing activities was $1,882.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strengthened its liquidity position through financing transactions and asset monetization activities and eliminated its outstanding convertible debt. In January 2026, the Company completed an underwritten public offering generating net proceeds of $37,184. The Company also received $21,003 from the sale of marketable securities and $26,410 from the sale of gold bullion that had been classified as held for sale as of December 31, 2025, resulting in a realized gain on the sale of gold of $2,938. In February 2026, following the conversion of $15,000 of principal under the secured convertible debentures into 3,750,000 shares of common stock, the Company paid approximately $38,903 in cash to settle the remaining obligations, consisting of $35,000 of principal, a $3,500 prepayment premium, and approximately $403 of accrued interest. The Company recognized a loss on extinguishment of the convertible debentures of $3,057, and all related security interests and liens were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received approximately $1,000 of USDC digital assets in connection with the transfer of an ownership interest in Streamex Ltd. to a noncontrolling interest holder.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principal sources of liquidity, in addition to cash on hand, included marketable securities of $12,861, digital assets of $6,001, and its investment in Metalayer, with a carrying amount of $1,828, which is measured using net asset value per share as a practical expedient for fair value and, following expiration of a three-month lock-up on August 26, 2026, is redeemable only as of the last business day of each calendar quarter upon 15 calendar days’ prior written notice, such that the earliest available redemption date is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the Company engaged an advisor to assist in evaluating monetization, licensing, sale, or other strategic alternatives for its PURE EP™ patent portfolio. As of June 30, 2026, the Company had not received any definitive offer, letter of intent, indication of interest, or term sheet and had not committed to any transaction. Accordingly, the Company cannot predict the amount, timing, or likelihood of any potential proceeds, and its liquidity forecasts do not assume any proceeds from the patent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did not have any material off-balance-sheet arrangements as defined by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tbl>
      <w:tblPr>
        <w:tblW w:w="7766" w:type="dxa"/>
        <w:jc w:val="left"/>
        <w:tblInd w:w="0" w:type="dxa"/>
        <w:tblLayout w:type="fixed"/>
        <w:tblCellMar>
          <w:top w:w="0" w:type="dxa"/>
          <w:left w:w="0" w:type="dxa"/>
          <w:bottom w:w="0" w:type="dxa"/>
          <w:right w:w="0" w:type="dxa"/>
        </w:tblCellMar>
      </w:tblPr>
      <w:tblGrid>
        <w:gridCol w:w="4775"/>
        <w:gridCol w:w="60"/>
        <w:gridCol w:w="216"/>
        <w:gridCol w:w="1168"/>
        <w:gridCol w:w="147"/>
        <w:gridCol w:w="92"/>
        <w:gridCol w:w="216"/>
        <w:gridCol w:w="982"/>
        <w:gridCol w:w="11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7"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(21,918</w:t>
            </w:r>
          </w:p>
        </w:tc>
        <w:tc>
          <w:tcPr>
            <w:tcW w:w="147"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(2,393</w:t>
            </w:r>
          </w:p>
        </w:tc>
        <w:tc>
          <w:tcPr>
            <w:tcW w:w="110" w:type="dxa"/>
            <w:tcBorders/>
            <w:shd w:fill="CCEEFF" w:val="clear"/>
            <w:vAlign w:val="center"/>
          </w:tcPr>
          <w:p>
            <w:pPr>
              <w:pStyle w:val="TableContents"/>
              <w:bidi w:val="0"/>
              <w:spacing w:before="0" w:after="283"/>
              <w:jc w:val="left"/>
              <w:rPr/>
            </w:pPr>
            <w:r>
              <w:rPr/>
              <w:t>)</w:t>
            </w:r>
          </w:p>
        </w:tc>
      </w:tr>
      <w:tr>
        <w:trPr/>
        <w:tc>
          <w:tcPr>
            <w:tcW w:w="4775"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9,163</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366</w:t>
            </w:r>
          </w:p>
        </w:tc>
        <w:tc>
          <w:tcPr>
            <w:tcW w:w="11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(1,882</w:t>
            </w:r>
          </w:p>
        </w:tc>
        <w:tc>
          <w:tcPr>
            <w:tcW w:w="147"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4,700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$21,918 for the six months ended June 30, 2026, an increase of $19,525 from $2,393 for the prior-year period, reflecting the expanded scale of operations following the Streamex Exchange acquisition and the launch of the GLDY program. The six-month net loss of $61,245 included significant non-cash items — $32,487 of stock-based compensation, $11,979 of amortization of debt discounts and issuance costs, $3,057 of loss on debenture extinguishment, $2,963 of depreciation and amortization, and a $172 unrealized loss on the Metalayer investment — together with cash outflows for personnel, professional services, platform development, marketing, insurance, and regulatory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$9,163 for the six months ended June 30, 2026, compared with $366 for the prior-year period. The current-period inflow was driven by $26,410 of proceeds from the February 2026 sale of previously pledged gold bullion and $21,003 of proceeds from sales of marketable securities, partially offset by $23,900 of purchases of marketable securities and $14,375 of purchases of gold held at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$1,882 for the six months ended June 30, 2026, compared with net cash provided by financing activities of $4,700 for the prior-year period. Current-period activity reflected $37,184 of net proceeds from the January 2026 underwritten public offering and $350 of proceeds from the issuance of equity interests in Streamex Ltd. to noncontrolling interest holders, more than offset by $38,500 paid to settle the secured convertible debentures. In January 2026, we issued 13,416,667 shares of common stock (including the underwriters’ over-allotment) at $3.00 per share for net proceeds of $37,184. In February 2026, the debenture holder converted $15,000 of principal into 3,750,000 shares of common stock, and we paid approximately $38,903 in cash to settle the remaining obligations ($35,000 of principal, a $3,500 prepayment premium, and approximately $403 of accrued interest), recognizing a $3,057 loss on extinguishment. Upon settlement in February all related security interests and liens were released.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Losses and Liquidity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incurring operating losses and negative cash flows until our digital infrastructure platform, including Streamex Exchange’s tokenization and GLDY offerings, achieves sustained commercial scale. During the six months ended June 30, 2026, the Company recognized its first gross in-kind gold lease income from the tokenized gold platform; however, income recognized to date remains immaterial. We expect to incur additional costs related to platform development, regulatory compliance, personnel, professional services, marketing, strategic partnerships, and public-company reporting as the Company seeks to expand its income-generating activities. The timing and extent of future income growth will depend on, among other things, continued investor adoption of GLDY, growth in assets under management, completion of development milestones, regulatory considerations, market conditions, and the successful commercialization of the Streamex Exchange platform and related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liquidity forecast and available financial resources, management concluded that substantial doubt about the Company’s ability to continue as a going concern was not raised as of the issuance date of the unaudited condensed consolidated financial statements. See Note 2 — Liquidity for additional information regarding the Company’s liquidity position, going-concern evaluation and related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Strategy and Uses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strategy is focused on maintaining sufficient liquidity to support ongoing operations, platform development, commercialization, regulatory compliance, personnel and infrastructure investments, public-company reporting, and strategic initiatives while preserving balance-sheet flexibility. We may evaluate additional capital sources from time to time, including:</w:t>
      </w:r>
    </w:p>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or private equity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Equity-linked financing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or licensing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or non-dilutive funding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financing, where feasible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Monetization of financial or other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has implemented cost-saving measures in prior periods, it has increased spending in certain areas to support the development and commercialization of the Streamex Exchange platform and related initiatives. These investments are intended to support long-term growth but may increase near-term liquidity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financing may include the issuance of equity or debt securities, credit facilities, strategic arrangements, or other forms of financing. Any equity or equity-linked financing could result in dilution to existing stockholders. Debt financing could impose restrictive covenants, require collateral, or result in securities or claims senior to those of the Company’s common stock. Market volatility, regulatory developments, the Company’s operating performance, and macroeconomic conditions may adversely affect the Company’s ability to obtain financing on acceptable terms. There can be no assurance that additional financing will be available when required, on acceptable terms, or at all. If additional capital is required and is not obtained on acceptable terms, the Company may be required to delay or reduce platform-development, commercialization, marketing, infrastructure, or other strategic activities, or enter into strategic arrangements that could require the Company to relinquish rights to certain technologies, products, or commercial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capital requirements will depend on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operating expenditures;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development and commercialization of the Streamex Exchange platform and related tokenization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adoption of GLDY and other tokenized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scale and timing of the Company’s gold-leasing and other income-generating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and compliance requirements applicable to the Company’s platform, digital assets, tokenized products, and public-company operations;</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and infrastructure investments required to support platform scalability, compliance, custody, cybersecurity, and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public-company reporting, corporate governance, accounting, audit, legal, and regulatory compliance;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the development, maintenance, and protection of the Company’s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timing, and cost of financing and strategic partnerships;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financial-market conditions;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the commodities and digital-asset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liquidity forecast includes assumptions regarding the timing and availability of its financial resources, the pace of platform-development and commercialization activities, planned operating and capital expenditures, cost-containment measures, and the timing and amount of potential income. Actual results may differ materially from those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unaudited condensed consolidated financial statements in accordance with U.S. GAAP requires management to make estimates and assumptions that affect the reported amounts of assets, liabilities, revenue, and expenses, and related disclosures. A critical accounting estimate is one that requires assumptions about matters that were highly uncertain at the time the estimate was made and for which different estimates reasonably could have been used, or changes reasonably likely to occur from period to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critical accounting estimates disclosed in Part II, Item 7 of our Annual Report on Form 10-K for the year ended December 31, 2025, other than the estimates described below, which relate to transactions and activities that commenced during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Stock-Based Compensation — Awards with Market Conditions.</w:t>
      </w:r>
      <w:r>
        <w:rPr>
          <w:rFonts w:ascii="Times New Roman;Times;Serif" w:hAnsi="Times New Roman;Times;Serif"/>
          <w:b w:val="false"/>
          <w:i w:val="false"/>
          <w:caps w:val="false"/>
          <w:smallCaps w:val="false"/>
          <w:sz w:val="20"/>
        </w:rPr>
        <w:t xml:space="preserve"> During 2026, we granted performance stock units containing a market condition. We estimate the grant-date fair value of these awards using a Monte Carlo simulation, which requires significant assumptions, including expected volatility, risk-free interest rates, and the derived service period. These assumptions are inherently uncertain, and the use of different assumptions could result in materially different compensation expense. Expense for market-condition awards is recognized over the derived service period and is not reversed if the market condition is not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Consolidation of Variable Interest Entities.</w:t>
      </w:r>
      <w:r>
        <w:rPr>
          <w:rFonts w:ascii="Times New Roman;Times;Serif" w:hAnsi="Times New Roman;Times;Serif"/>
          <w:b w:val="false"/>
          <w:i w:val="false"/>
          <w:caps w:val="false"/>
          <w:smallCaps w:val="false"/>
          <w:sz w:val="20"/>
        </w:rPr>
        <w:t xml:space="preserve"> We consolidate variable interest entities for which we are the primary beneficiary. Determining whether we are the primary beneficiary of Streamex Ltd. requires significant judgment regarding which activities most significantly affect the entity’s economic performance, our power to direct those activities, and our exposure to benefits and losses that could be significant. Changes in these judgments could materially affect whether the entity is consolidated and the amounts recognized in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Gold Lease Income and Gold-Denominated Consideration.</w:t>
      </w:r>
      <w:r>
        <w:rPr>
          <w:rFonts w:ascii="Times New Roman;Times;Serif" w:hAnsi="Times New Roman;Times;Serif"/>
          <w:b w:val="false"/>
          <w:i w:val="false"/>
          <w:caps w:val="false"/>
          <w:smallCaps w:val="false"/>
          <w:sz w:val="20"/>
        </w:rPr>
        <w:t xml:space="preserve"> We recognize gold lease income, a portion of which is settled in physical gold. Measuring this income requires estimates regarding the fair value of gold-denominated consideration, the timing of recognition over the lease period, and the assessment of collectability. Differences between the estimated value of gold-denominated consideration recognized as income and the value realized upon settlement are recognized as settlement gains or losses and could be material in future periods as leasing activity scales.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our estimates and assumptions on an ongoing basis and recognize revisions in the period in which the estimates are revised and in any future periods affected. Our significant accounting policies are described in Note 3, Summary of Significant Accounting Policies, to the unaudited condensed consolidated financial statements included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0" w:name="a_009"/>
      <w:bookmarkEnd w:id="129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under Regulation S-K for “smaller reporting companies.”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1" w:name="a_010"/>
      <w:bookmarkEnd w:id="129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June 30, 2026.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evaluation, our Chief Executive Officer and Chief Financial Officer have concluded that, as of June 30, 2026, our disclosure controls and procedures were not effective due to the material weaknesses in our internal control over financial reporting described below and previously reported in our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our Annual Report on Form 10-K for the year ended December 31, 2025, management identified the following material weaknesses in the Company’s internal control over financial reporting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identification, recording, and reporting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ineffective review processes over period-end financial disclosure and reporting, including review of information produced by the entity (“IPE”);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segregation of duties for transaction posting and processing;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ineffective review controls over business combinations and related financial instruments.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did not result in any identified misstatements to the unaudited condensed consolidated financial statements and there were no changes to previously released financial results. These material weaknesses had not been remediated as of June 30, 2026, and accordingly, management concluded that our disclosure controls and procedures were not effective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initiated and continues to execute remediation plans to address the material weaknesses described above. During the three months ended June 30, 2026, management undertook the following remediation actions: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Hired a corporate controller with public-company technical accounting and financial reporting experience to strengthen the Company’s accounting function, enhance the design and operation of controls over financial reporting, and support the timely preparation and review of the Company’s consolidated financial statements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to enhance the Company’s formal review procedures over the recording and reporting of complex and non-routine transactions, including business combinations, consolidation of variable interest entities, equity and share-based compensation, and digital-asset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Engaged third-party technical accounting and financial-reporting advisors to assist management in the analysis, documentation, and review of complex accounting matters;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to formalize and document key accounting policies, processes, and control activities, including segregation of duties and review controls over the financial statement close process.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these actions, once fully implemented and operating effectively for a sufficient period of time, will remediate the underlying control deficiencies. The material weaknesses will not be considered remediated until the applicable controls have operated for a sufficient period of time and management has concluded, through testing, that these controls are operating effectively. There can be no assurance that our remediation efforts will be successful or that our internal control over financial reporting will be effective as a result of these efforts.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remediation actions described above, 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2" w:name="a_011"/>
      <w:bookmarkEnd w:id="1292"/>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3" w:name="a_012"/>
      <w:bookmarkEnd w:id="129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at times to other legal proceedings and claims, which arise in the ordinary course of our business. Although occasional adverse decisions or settlements may occur, the Company believes that the final disposition of such matters should not have a material adverse effect on its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there were no material changes from the legal proceedings discussed in our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4" w:name="a_013"/>
      <w:bookmarkEnd w:id="129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following risk factors, there have been no material changes to the risk factors previously disclosed in Part I, Item 1A. Risk Factors of our Annual Report on Form 10-K for the fiscal year ended December 31, 2025, as filed with the SEC on March 31, 2026. The following risk factors supplement, and should be read in conjunction with, the risk factors disclosed in such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reliance on USDC as the primary settlement medium for GLDY transactions exposes us to risks related to stablecoin depegging, Circle Internet Financial, LLC's ("Circle") financial stability, and the broader banking relationships underlying USDC reserves.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secondary-market transactions in GLDY — including instant-settlement purchases facilitated through our liquidity arrangements with an independent proprietary trading firm — are denominated and settled in USDC. USDC is not insured by the Federal Deposit Insurance Corporation (the "FDIC"), and Circle's ability to maintain the 1:1 peg of USDC to the U.S. dollar depends on the sufficiency and liquidity of its reserves, which are held primarily in U.S. Treasury securities and cash deposits at regulated financial institutions.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USDC temporarily lost its dollar peg after Circle disclosed that approximately $3.3 billion of its reserves were held at Silicon Valley Bank, which had entered FDIC receivership. Although the peg was subsequently restored, this event demonstrated the vulnerability of stablecoins to contagion from the traditional banking system. A similar or more prolonged depegging event could materially impair the ability of GLDY holders to redeem their tokens at fair value, reduce confidence in GLDY's secondary market pricing, and require us to seek alternative settlement mechanisms on short notice.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GENIUS Act, signed into law in July 2025, imposes new regulatory requirements on stablecoin issuers and their reserve management practices. To the extent that future regulatory actions restrict Circle's operations, reduce USDC liquidity, or impose additional compliance burdens that affect our use of USDC, our ability to provide efficient settlement for GLDY could be materially and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significant portion of our liquid resources has been deployed to a single trading counterparty to support GLDY secondary-market liquidity, and we could lose all or part of those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we transferred $5.0 million of USDC and 1,069 GLDY tokens to an independent proprietary trading firm under an interest-free loan agreement, representing a substantial majority of our digital asset holdings as of June 30, 2026. The loan is unsecured, and the loaned assets are not held in a segregated or custodial account for our benefit. Under the agreement, if the loaned assets are lost or become inaccessible as a result of the insolvency or failure of a trading venue or other third party, and the loss did not result from the counterparty's gross negligence, willful default or fraud, the amount owed to us is reduced accordingly and we bear the loss. Either party may terminate the arrangement on 30 days' notice, following which the loan balance is required to be returned within two business days, but we cannot assure you that the loaned assets will be returned in full or on a timely basis, or that we could replace this liquidity support on comparable terms. The loss of all or part of these assets, or the loss of instant-settlement capacity for GLDY, could materially and adversely affect our liquidity, financial condition, operating results, and the market price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5" w:name="a_014"/>
      <w:bookmarkEnd w:id="1295"/>
      <w:r>
        <w:rPr>
          <w:rFonts w:ascii="Times New Roman;Times;Serif" w:hAnsi="Times New Roman;Times;Serif"/>
          <w:b/>
          <w:i w:val="false"/>
          <w:caps w:val="false"/>
          <w:smallCaps w:val="false"/>
          <w:sz w:val="20"/>
        </w:rPr>
        <w:t>ITEM 2. UNREGISTERED SALES OF EQUITY SECURITIES, USE OF PROCEEDS,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did not sell any equity securities that were not registered under the Securities Act of 1933, as amended, that were not previously disclosed in a Current Report on Form 8-K or a prior periodic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end of the period covered by this report, on July 1, 2026, the Board of Directors authorized a stock repurchase plan permitting the repurchase of up to 10,000,000 shares of the Company’s common stock at a purchase price not exceeding $2.00 per share. No shares have been repurchased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6" w:name="a_015"/>
      <w:bookmarkEnd w:id="129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7" w:name="a_016"/>
      <w:bookmarkEnd w:id="129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8" w:name="a_017"/>
      <w:bookmarkEnd w:id="129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8, 2026, of the Company dismissed CBIZ CPAs P.C. as the Company’s independent registered public accounting firm and engaged EisnerAmper LLP as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P.C.’s reports on the Company’s consolidated financial statements for the fiscal years ended December 31, 2025 and 2024 did not contain an adverse opinion or a disclaimer of opinion and were not qualified or modified as to uncertainty, audit scope, or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April 30, 2025 through July 8, 2026, (i) there were no “disagreements” as that term is defined in Item 304(a)(1)(iv) of Regulation S-K promulgated by the SEC pursuant to the Exchange Act, between the Company and CBIZ CPAs on any matter of accounting principles or practices, financial statement disclosure or auditing scope or procedure, which disagreements, if not resolved to the satisfaction of CBIZ CPAs, would have caused CBIZ CPAs to make reference to the subject matter of the disagreement in connection with its report on the financial statements for such year, and (ii) there were no “reportable events” as that term is defined in Item 304(a)(1)(v) of Regulation S-K except for the material weakness in the Company’s internal control over financial reporting as initially reported in Item 9A of the Company’s Annual Report and as described in Part I, Item 4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matters were reported under Item 4.01 of a Current Report on Form 8-K filed on July 13, 2026. See Note 23 – Subsequent Events to the unaudited condensed consolidated financial statements included in Part I, Item 1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Company’s directors or officers, as defined in Rule 16a-1(f) under the Exchange Act, adopted, modified or terminated a “Rule 10b5-1 trading arrangement” or a “non-Rule 10b5-1 trading arrangement,” as each term is defined in Item 408 of Regulation S-K, during the quarter ended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9" w:name="a_018"/>
      <w:bookmarkEnd w:id="1299"/>
      <w:r>
        <w:rPr>
          <w:rFonts w:ascii="Times New Roman;Times;Serif" w:hAnsi="Times New Roman;Times;Serif"/>
          <w:b/>
          <w:i w:val="false"/>
          <w:caps w:val="false"/>
          <w:smallCaps w:val="false"/>
          <w:sz w:val="20"/>
        </w:rPr>
        <w:t>ITEM 6. EXHIBITS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8"/>
        <w:gridCol w:w="60"/>
        <w:gridCol w:w="9297"/>
      </w:tblGrid>
      <w:tr>
        <w:trPr/>
        <w:tc>
          <w:tcPr>
            <w:tcW w:w="84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Employment Agreement between Streamex Corp. and Mitchell Williams, dated April 28, 2026, (incorporated by reference to Exhibit 10.1 to the Company’s Current Report on Form 8-K filed on May 4, 2026)</w:t>
              </w:r>
            </w:hyperlink>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Employment Agreement between Streamex Corp. and Karl Henry McPhie, dated May 1, 2026 (incorporated by reference to Exhibit 10.2 to the Company’s Current Report on Form 8-K filed on May 4, 2026)</w:t>
              </w:r>
            </w:hyperlink>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Amended Employment Agreement between Streamex Corp. and Morgan Lekstrom, dated May 1, 2026 (incorporated by reference to Exhibit 10.3 to the Company’s Current Report on Form 8-K filed on May 4, 2026)</w:t>
              </w:r>
            </w:hyperlink>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Exchange Act Rules 13a-14(a) and 15d-14(a), as adopted pursuant to Section 302 of the Sarbanes-Oxley Act of 2002</w:t>
              </w:r>
            </w:hyperlink>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Exchange Act Rules 13a-14(a) and 15d-14(a), as adopted pursuant to Section 302 of the Sarbanes-Oxley Act of 2002</w:t>
              </w:r>
            </w:hyperlink>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Calculation Linkbase Document</w:t>
            </w:r>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Labels Linkbase Document</w:t>
            </w:r>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Presentation Linkbase Document</w:t>
            </w:r>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00" w:name="a_019"/>
      <w:bookmarkEnd w:id="130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1865"/>
        <w:gridCol w:w="320"/>
        <w:gridCol w:w="55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8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McPhie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Christine Plummer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Plummer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center"/>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1301" w:name="ex31-1.htm"/>
      <w:bookmarkStart w:id="1302" w:name="ksex311"/>
      <w:bookmarkEnd w:id="1301"/>
      <w:bookmarkEnd w:id="130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Henry McPhie,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Streamex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reasonable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tbl>
      <w:tblPr>
        <w:tblW w:w="4400" w:type="dxa"/>
        <w:jc w:val="left"/>
        <w:tblInd w:w="0" w:type="dxa"/>
        <w:tblLayout w:type="fixed"/>
        <w:tblCellMar>
          <w:top w:w="0" w:type="dxa"/>
          <w:left w:w="0" w:type="dxa"/>
          <w:bottom w:w="28" w:type="dxa"/>
          <w:right w:w="0" w:type="dxa"/>
        </w:tblCellMar>
      </w:tblPr>
      <w:tblGrid>
        <w:gridCol w:w="4325"/>
        <w:gridCol w:w="75"/>
      </w:tblGrid>
      <w:tr>
        <w:trPr/>
        <w:tc>
          <w:tcPr>
            <w:tcW w:w="43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McPhie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1303" w:name="ex31-2.htm"/>
      <w:bookmarkStart w:id="1304" w:name="ksex312"/>
      <w:bookmarkEnd w:id="1303"/>
      <w:bookmarkEnd w:id="130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Christine Plummer,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Streamex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reasonable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28" w:type="dxa"/>
          <w:right w:w="0" w:type="dxa"/>
        </w:tblCellMar>
      </w:tblPr>
      <w:tblGrid>
        <w:gridCol w:w="5555"/>
        <w:gridCol w:w="75"/>
      </w:tblGrid>
      <w:tr>
        <w:trPr/>
        <w:tc>
          <w:tcPr>
            <w:tcW w:w="55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Christine Plummer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Plummer</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55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1305" w:name="ex32-1.htm"/>
      <w:bookmarkStart w:id="1306" w:name="ksex321"/>
      <w:bookmarkEnd w:id="1305"/>
      <w:bookmarkEnd w:id="130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CHIEF EXECUTIVE OFFICER AND CHIEF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Henry McPhie, certify, pursuant to 18 U.S.C. Section 1350, as adopted pursuant to Section 906 of the Sarbanes-Oxley Act of 2002, that the Quarterly Report of Streamex Corp. on Form 10-Q for the fiscal quarter ended June 30, 2026 fully complies with the requirements of Section 13(a) or 15(d) of the Securities Exchange Act of 1934 and that information contained in this Quarterly Report on Form 10-Q fairly presents in all material respects the financial condition and results of operations of Streamex Corp.</w:t>
      </w:r>
    </w:p>
    <w:p>
      <w:pPr>
        <w:pStyle w:val="TextBody"/>
        <w:bidi w:val="0"/>
        <w:spacing w:before="0" w:after="0"/>
        <w:jc w:val="center"/>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1865"/>
        <w:gridCol w:w="545"/>
        <w:gridCol w:w="434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McPhie</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4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Christine Plummer, certify, pursuant to 18 U.S.C. Section 1350, as adopted pursuant to Section 906 of the Sarbanes-Oxley Act of 2002, that the Quarterly Report of Streamex Corp. on Form 10-Q for the fiscal quarter ended June 30, 2026 fully complies with the requirements of Section 13(a) or 15(d) of the Securities Exchange Act of 1934 and that information contained in this Quarterly Report on Form 10-Q fairly presents in all material respects the financial condition and results of operations of Streamex Corp.</w:t>
      </w:r>
    </w:p>
    <w:p>
      <w:pPr>
        <w:pStyle w:val="TextBody"/>
        <w:bidi w:val="0"/>
        <w:spacing w:before="0" w:after="0"/>
        <w:ind w:left="0" w:right="0" w:hanging="0"/>
        <w:jc w:val="center"/>
        <w:rPr>
          <w:caps w:val="false"/>
          <w:smallCaps w:val="false"/>
        </w:rPr>
      </w:pPr>
      <w:r>
        <w:rPr>
          <w:caps w:val="false"/>
          <w:smallCaps w:val="false"/>
        </w:rPr>
        <w:t> </w:t>
      </w:r>
    </w:p>
    <w:tbl>
      <w:tblPr>
        <w:tblW w:w="7965" w:type="dxa"/>
        <w:jc w:val="left"/>
        <w:tblInd w:w="0" w:type="dxa"/>
        <w:tblLayout w:type="fixed"/>
        <w:tblCellMar>
          <w:top w:w="0" w:type="dxa"/>
          <w:left w:w="0" w:type="dxa"/>
          <w:bottom w:w="0" w:type="dxa"/>
          <w:right w:w="0" w:type="dxa"/>
        </w:tblCellMar>
      </w:tblPr>
      <w:tblGrid>
        <w:gridCol w:w="1865"/>
        <w:gridCol w:w="545"/>
        <w:gridCol w:w="55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Christine Plummer</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Plummer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0766/000149315226021131/ex10-1.htm" TargetMode="External"/><Relationship Id="rId3" Type="http://schemas.openxmlformats.org/officeDocument/2006/relationships/hyperlink" Target="https://www.sec.gov/Archives/edgar/data/1530766/000149315226021131/ex10-2.htm" TargetMode="External"/><Relationship Id="rId4" Type="http://schemas.openxmlformats.org/officeDocument/2006/relationships/hyperlink" Target="https://www.sec.gov/Archives/edgar/data/1530766/000149315226021131/ex10-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28531</Words>
  <Characters>158914</Characters>
  <CharactersWithSpaces>189487</CharactersWithSpaces>
  <Paragraphs>8072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