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8-k.htm"/>
      <w:bookmarkStart w:id="1" w:name="ksform8k"/>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6072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3" w:name="xdx_906_edei--DocumentPeriodEndDate_c202"/>
      <w:bookmarkEnd w:id="3"/>
      <w:r>
        <w:rPr>
          <w:rFonts w:ascii="Times New Roman;Times;Serif" w:hAnsi="Times New Roman;Times;Serif"/>
          <w:b w:val="false"/>
          <w:i w:val="false"/>
          <w:caps w:val="false"/>
          <w:smallCaps w:val="false"/>
          <w:sz w:val="20"/>
        </w:rPr>
        <w:t>July 29,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E_edei--EntityRegistrantName_c2026"/>
      <w:bookmarkEnd w:id="4"/>
      <w:r>
        <w:rPr>
          <w:rFonts w:ascii="Times New Roman;Times;Serif" w:hAnsi="Times New Roman;Times;Serif"/>
          <w:b/>
          <w:i w:val="false"/>
          <w:caps w:val="false"/>
          <w:smallCaps w:val="false"/>
          <w:sz w:val="36"/>
        </w:rPr>
        <w:t>STREAMEX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4530" w:type="dxa"/>
        <w:jc w:val="left"/>
        <w:tblInd w:w="0" w:type="dxa"/>
        <w:tblLayout w:type="fixed"/>
        <w:tblCellMar>
          <w:top w:w="0" w:type="dxa"/>
          <w:left w:w="0" w:type="dxa"/>
          <w:bottom w:w="0" w:type="dxa"/>
          <w:right w:w="0" w:type="dxa"/>
        </w:tblCellMar>
      </w:tblPr>
      <w:tblGrid>
        <w:gridCol w:w="1415"/>
        <w:gridCol w:w="60"/>
        <w:gridCol w:w="1100"/>
        <w:gridCol w:w="60"/>
        <w:gridCol w:w="1895"/>
      </w:tblGrid>
      <w:tr>
        <w:trPr/>
        <w:tc>
          <w:tcPr>
            <w:tcW w:w="141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F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A_edei--EntityFileNumber_c20260729"/>
            <w:bookmarkEnd w:id="6"/>
            <w:r>
              <w:rPr>
                <w:rFonts w:ascii="Times New Roman;Times;Serif" w:hAnsi="Times New Roman;Times;Serif"/>
                <w:b/>
                <w:i w:val="false"/>
                <w:caps w:val="false"/>
                <w:smallCaps w:val="false"/>
                <w:sz w:val="20"/>
              </w:rPr>
              <w:t>001-38659</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26-4333375</w:t>
            </w:r>
          </w:p>
        </w:tc>
      </w:tr>
      <w:tr>
        <w:trPr/>
        <w:tc>
          <w:tcPr>
            <w:tcW w:w="141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00"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895" w:type="dxa"/>
            <w:tcBorders/>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8" w:name="xdx_90A_edei--EntityAddressAddressLine1_"/>
      <w:bookmarkEnd w:id="8"/>
      <w:r>
        <w:rPr>
          <w:rFonts w:ascii="Times New Roman;Times;Serif" w:hAnsi="Times New Roman;Times;Serif"/>
          <w:b w:val="false"/>
          <w:i w:val="false"/>
          <w:caps w:val="false"/>
          <w:smallCaps w:val="false"/>
          <w:sz w:val="20"/>
        </w:rPr>
        <w:t>165 Lincoln Ave FL 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9" w:name="xdx_907_edei--EntityAddressCityOrTown_c2"/>
      <w:bookmarkEnd w:id="9"/>
      <w:r>
        <w:rPr>
          <w:rFonts w:ascii="Times New Roman;Times;Serif" w:hAnsi="Times New Roman;Times;Serif"/>
          <w:b w:val="false"/>
          <w:i w:val="false"/>
          <w:caps w:val="false"/>
          <w:smallCaps w:val="false"/>
          <w:sz w:val="20"/>
        </w:rPr>
        <w:t xml:space="preserve">Winter Park, </w:t>
      </w:r>
      <w:bookmarkStart w:id="10" w:name="xdx_902_edei--EntityAddressStateOrProvin"/>
      <w:bookmarkEnd w:id="10"/>
      <w:r>
        <w:rPr>
          <w:rFonts w:ascii="Times New Roman;Times;Serif" w:hAnsi="Times New Roman;Times;Serif"/>
          <w:b w:val="false"/>
          <w:i w:val="false"/>
          <w:caps w:val="false"/>
          <w:smallCaps w:val="false"/>
          <w:sz w:val="20"/>
        </w:rPr>
        <w:t xml:space="preserve">Florida </w:t>
      </w:r>
      <w:bookmarkStart w:id="11" w:name="xdx_906_edei--EntityAddressPostalZipCode"/>
      <w:bookmarkEnd w:id="11"/>
      <w:r>
        <w:rPr>
          <w:rFonts w:ascii="Times New Roman;Times;Serif" w:hAnsi="Times New Roman;Times;Serif"/>
          <w:b w:val="false"/>
          <w:i w:val="false"/>
          <w:caps w:val="false"/>
          <w:smallCaps w:val="false"/>
          <w:sz w:val="20"/>
        </w:rPr>
        <w:t>32789</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12" w:name="xdx_90B_edei--CityAreaCode_c20260729__20"/>
      <w:bookmarkEnd w:id="12"/>
      <w:r>
        <w:rPr>
          <w:rFonts w:ascii="Times New Roman;Times;Serif" w:hAnsi="Times New Roman;Times;Serif"/>
          <w:b w:val="false"/>
          <w:i w:val="false"/>
          <w:caps w:val="false"/>
          <w:smallCaps w:val="false"/>
          <w:sz w:val="20"/>
        </w:rPr>
        <w:t xml:space="preserve">(203) </w:t>
      </w:r>
      <w:bookmarkStart w:id="13" w:name="xdx_905_edei--LocalPhoneNumber_c20260729"/>
      <w:bookmarkEnd w:id="13"/>
      <w:r>
        <w:rPr>
          <w:rFonts w:ascii="Times New Roman;Times;Serif" w:hAnsi="Times New Roman;Times;Serif"/>
          <w:b w:val="false"/>
          <w:i w:val="false"/>
          <w:caps w:val="false"/>
          <w:smallCaps w:val="false"/>
          <w:sz w:val="20"/>
        </w:rPr>
        <w:t>409-5444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both"/>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both"/>
              <w:rPr>
                <w:caps w:val="false"/>
                <w:smallCaps w:val="false"/>
              </w:rPr>
            </w:pPr>
            <w:bookmarkStart w:id="14" w:name="xdx_90E_edei--WrittenCommunications_c202"/>
            <w:bookmarkEnd w:id="14"/>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5" w:name="xdx_900_edei--SolicitingMaterial_c202607"/>
            <w:bookmarkEnd w:id="15"/>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6" w:name="xdx_905_edei--PreCommencementTenderOffer"/>
            <w:bookmarkEnd w:id="16"/>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both"/>
              <w:rPr>
                <w:caps w:val="false"/>
                <w:smallCaps w:val="false"/>
              </w:rPr>
            </w:pPr>
            <w:r>
              <w:rPr>
                <w:caps w:val="false"/>
                <w:smallCaps w:val="false"/>
              </w:rPr>
              <w:t> </w:t>
            </w:r>
          </w:p>
        </w:tc>
        <w:tc>
          <w:tcPr>
            <w:tcW w:w="906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both"/>
              <w:rPr>
                <w:caps w:val="false"/>
                <w:smallCaps w:val="false"/>
              </w:rPr>
            </w:pPr>
            <w:bookmarkStart w:id="17" w:name="xdx_900_edei--PreCommencementIssuerTende"/>
            <w:bookmarkEnd w:id="17"/>
            <w:r>
              <w:rPr>
                <w:caps w:val="false"/>
                <w:smallCaps w:val="false"/>
              </w:rPr>
              <w:t>☐</w:t>
            </w:r>
          </w:p>
        </w:tc>
        <w:tc>
          <w:tcPr>
            <w:tcW w:w="90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both"/>
        <w:rPr>
          <w:caps w:val="false"/>
          <w:smallCaps w:val="false"/>
        </w:rPr>
      </w:pPr>
      <w:r>
        <w:rPr>
          <w:caps w:val="false"/>
          <w:smallCaps w:val="false"/>
        </w:rPr>
        <w:t> </w:t>
      </w:r>
    </w:p>
    <w:tbl>
      <w:tblPr>
        <w:tblW w:w="8925" w:type="dxa"/>
        <w:jc w:val="left"/>
        <w:tblInd w:w="0" w:type="dxa"/>
        <w:tblLayout w:type="fixed"/>
        <w:tblCellMar>
          <w:top w:w="0" w:type="dxa"/>
          <w:left w:w="0" w:type="dxa"/>
          <w:bottom w:w="28" w:type="dxa"/>
          <w:right w:w="0" w:type="dxa"/>
        </w:tblCellMar>
      </w:tblPr>
      <w:tblGrid>
        <w:gridCol w:w="3515"/>
        <w:gridCol w:w="60"/>
        <w:gridCol w:w="1580"/>
        <w:gridCol w:w="60"/>
        <w:gridCol w:w="371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5_edei--Security12bTitle_c20260729"/>
            <w:bookmarkEnd w:id="18"/>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58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2_edei--TradingSymbol_c20260729__2"/>
            <w:bookmarkEnd w:id="19"/>
            <w:r>
              <w:rPr>
                <w:rFonts w:ascii="Times New Roman;Times;Serif" w:hAnsi="Times New Roman;Times;Serif"/>
                <w:b w:val="false"/>
                <w:i w:val="false"/>
                <w:caps w:val="false"/>
                <w:smallCaps w:val="false"/>
                <w:sz w:val="20"/>
              </w:rPr>
              <w:t>STEX</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37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B_edei--SecurityExchangeName_c2026"/>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F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5.02 Departure of Directors or Certain Officers; Election of Directors; Appointment of Certain Officers; Compensatory Arrangements of Certain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Shawn Matthews notified the Board of Directors (the “</w:t>
      </w:r>
      <w:r>
        <w:rPr>
          <w:rFonts w:ascii="Times New Roman;Times;Serif" w:hAnsi="Times New Roman;Times;Serif"/>
          <w:b/>
          <w:i/>
          <w:caps w:val="false"/>
          <w:smallCaps w:val="false"/>
          <w:sz w:val="20"/>
        </w:rPr>
        <w:t>Board</w:t>
      </w:r>
      <w:r>
        <w:rPr>
          <w:rFonts w:ascii="Times New Roman;Times;Serif" w:hAnsi="Times New Roman;Times;Serif"/>
          <w:b w:val="false"/>
          <w:i w:val="false"/>
          <w:caps w:val="false"/>
          <w:smallCaps w:val="false"/>
          <w:sz w:val="20"/>
        </w:rPr>
        <w:t>”) of Streamex Corp. (the “</w:t>
      </w:r>
      <w:r>
        <w:rPr>
          <w:rFonts w:ascii="Times New Roman;Times;Serif" w:hAnsi="Times New Roman;Times;Serif"/>
          <w:b/>
          <w:i/>
          <w:caps w:val="false"/>
          <w:smallCaps w:val="false"/>
          <w:sz w:val="20"/>
        </w:rPr>
        <w:t>Company</w:t>
      </w:r>
      <w:r>
        <w:rPr>
          <w:rFonts w:ascii="Times New Roman;Times;Serif" w:hAnsi="Times New Roman;Times;Serif"/>
          <w:b w:val="false"/>
          <w:i w:val="false"/>
          <w:caps w:val="false"/>
          <w:smallCaps w:val="false"/>
          <w:sz w:val="20"/>
        </w:rPr>
        <w:t>”) of his resignation from the Board and all committees thereto, effective as of the same date. Mr. Matthews’ resignation from the Board was not in connection with any disagreement with the Company on any matter relating to the Company’s operations, policies or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vacancy on the Board arising from Mr. Matthews’ departure, the Company has identified a potential qualified candidate who may be nominated to fill such vacancy prior to the end of the fiscal year ending December 31, 2026. Any such appointment remains subject to, among other things (i) the candidate’s willingness and availability to serve, (ii) formal nomination and approval by the Board and any applicable committees thereof, and (iii) satisfaction of all governance, regulatory, and eligibility requirements. No assurance can be given that such candidate will ultimately be nominated, approved, or seated on the Board, and the Company reserves the right to pursue alternative candidates or to leave the vacancy unfilled in its discretion should the circumstances so warrant.</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4260" w:type="dxa"/>
        <w:jc w:val="left"/>
        <w:tblInd w:w="0" w:type="dxa"/>
        <w:tblLayout w:type="fixed"/>
        <w:tblCellMar>
          <w:top w:w="0" w:type="dxa"/>
          <w:left w:w="0" w:type="dxa"/>
          <w:bottom w:w="0" w:type="dxa"/>
          <w:right w:w="0" w:type="dxa"/>
        </w:tblCellMar>
      </w:tblPr>
      <w:tblGrid>
        <w:gridCol w:w="1760"/>
        <w:gridCol w:w="545"/>
        <w:gridCol w:w="1955"/>
      </w:tblGrid>
      <w:tr>
        <w:trPr/>
        <w:tc>
          <w:tcPr>
            <w:tcW w:w="17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August 4, 2026</w:t>
            </w:r>
          </w:p>
        </w:tc>
        <w:tc>
          <w:tcPr>
            <w:tcW w:w="2500" w:type="dxa"/>
            <w:gridSpan w:val="2"/>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STREAMEX CORP.</w:t>
            </w:r>
          </w:p>
        </w:tc>
      </w:tr>
      <w:tr>
        <w:trPr/>
        <w:tc>
          <w:tcPr>
            <w:tcW w:w="1760"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caps w:val="false"/>
                <w:smallCaps w:val="false"/>
              </w:rPr>
            </w:pPr>
            <w:r>
              <w:rPr>
                <w:caps w:val="false"/>
                <w:smallCaps w:val="false"/>
              </w:rPr>
              <w:t> </w:t>
            </w:r>
          </w:p>
        </w:tc>
        <w:tc>
          <w:tcPr>
            <w:tcW w:w="195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760"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55" w:type="dxa"/>
            <w:tcBorders>
              <w:bottom w:val="single" w:sz="8" w:space="0" w:color="000000"/>
            </w:tcBorders>
            <w:tcMar>
              <w:bottom w:w="28" w:type="dxa"/>
            </w:tcMar>
            <w:vAlign w:val="center"/>
          </w:tcPr>
          <w:p>
            <w:pPr>
              <w:pStyle w:val="TableContents"/>
              <w:bidi w:val="0"/>
              <w:spacing w:before="0" w:after="283"/>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Karl Henry McPhie</w:t>
            </w:r>
          </w:p>
        </w:tc>
      </w:tr>
      <w:tr>
        <w:trPr/>
        <w:tc>
          <w:tcPr>
            <w:tcW w:w="1760"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Karl Henry McPhie</w:t>
            </w:r>
          </w:p>
        </w:tc>
      </w:tr>
      <w:tr>
        <w:trPr/>
        <w:tc>
          <w:tcPr>
            <w:tcW w:w="1760" w:type="dxa"/>
            <w:tcBorders/>
            <w:vAlign w:val="center"/>
          </w:tcPr>
          <w:p>
            <w:pPr>
              <w:pStyle w:val="TableContents"/>
              <w:bidi w:val="0"/>
              <w:spacing w:before="0" w:after="283"/>
              <w:jc w:val="both"/>
              <w:rPr>
                <w:caps w:val="false"/>
                <w:smallCaps w:val="false"/>
              </w:rPr>
            </w:pPr>
            <w:r>
              <w:rPr>
                <w:caps w:val="false"/>
                <w:smallCaps w:val="false"/>
              </w:rPr>
              <w:t> </w:t>
            </w:r>
          </w:p>
        </w:tc>
        <w:tc>
          <w:tcPr>
            <w:tcW w:w="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5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543</Words>
  <Characters>2990</Characters>
  <CharactersWithSpaces>3531</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