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4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6_edei--CurrentFiscalYearEndDate_c"/>
      <w:bookmarkStart w:id="5" w:name="xdx_907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4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 w:name="xdx_908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UNDER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8" w:name="xdx_90F_edei--EntityFileNumber_c20250101"/>
      <w:bookmarkEnd w:id="8"/>
      <w:r>
        <w:rPr>
          <w:rFonts w:ascii="Times New Roman;Times;Serif" w:hAnsi="Times New Roman;Times;Serif"/>
          <w:b w:val="false"/>
          <w:i w:val="false"/>
          <w:caps w:val="false"/>
          <w:smallCaps w:val="false"/>
          <w:sz w:val="20"/>
        </w:rPr>
        <w:t>001-38659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3_edei--EntityRegistrantName_c2025"/>
      <w:bookmarkEnd w:id="9"/>
      <w:r>
        <w:rPr>
          <w:rFonts w:ascii="Times New Roman;Times;Serif" w:hAnsi="Times New Roman;Times;Serif"/>
          <w:b/>
          <w:i w:val="false"/>
          <w:caps w:val="false"/>
          <w:smallCaps w:val="false"/>
          <w:sz w:val="36"/>
          <w:u w:val="single"/>
        </w:rPr>
        <w:t>STREAMEX CORP.</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TaxIdentificationNum"/>
            <w:bookmarkEnd w:id="11"/>
            <w:r>
              <w:rPr>
                <w:rFonts w:ascii="Times New Roman;Times;Serif" w:hAnsi="Times New Roman;Times;Serif"/>
                <w:b/>
                <w:i w:val="false"/>
                <w:caps w:val="false"/>
                <w:smallCaps w:val="false"/>
                <w:sz w:val="20"/>
              </w:rPr>
              <w:t>26-4333375</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3215"/>
        <w:gridCol w:w="60"/>
        <w:gridCol w:w="905"/>
        <w:gridCol w:w="60"/>
        <w:gridCol w:w="434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B_edei--EntityAddressAddressLine1_"/>
            <w:bookmarkEnd w:id="12"/>
            <w:r>
              <w:rPr>
                <w:rFonts w:ascii="Times New Roman;Times;Serif" w:hAnsi="Times New Roman;Times;Serif"/>
                <w:b/>
                <w:i w:val="false"/>
                <w:caps w:val="false"/>
                <w:smallCaps w:val="false"/>
                <w:sz w:val="20"/>
              </w:rPr>
              <w:t xml:space="preserve">2431 Aloma Avenue, </w:t>
            </w:r>
            <w:bookmarkStart w:id="13" w:name="xdx_906_edei--EntityAddressAddressLine2_"/>
            <w:bookmarkEnd w:id="13"/>
            <w:r>
              <w:rPr>
                <w:rFonts w:ascii="Times New Roman;Times;Serif" w:hAnsi="Times New Roman;Times;Serif"/>
                <w:b/>
                <w:i w:val="false"/>
                <w:caps w:val="false"/>
                <w:smallCaps w:val="false"/>
                <w:sz w:val="20"/>
              </w:rPr>
              <w:t>Suite 243</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4" w:name="xdx_90E_edei--EntityAddressCityOrTown_c2"/>
            <w:bookmarkEnd w:id="14"/>
            <w:r>
              <w:rPr>
                <w:rFonts w:ascii="Times New Roman;Times;Serif" w:hAnsi="Times New Roman;Times;Serif"/>
                <w:b/>
                <w:i w:val="false"/>
                <w:caps w:val="false"/>
                <w:smallCaps w:val="false"/>
                <w:sz w:val="20"/>
              </w:rPr>
              <w:t xml:space="preserve">Winter Park, </w:t>
            </w:r>
            <w:bookmarkStart w:id="15" w:name="xdx_905_edei--EntityAddressStateOrProvin"/>
            <w:bookmarkEnd w:id="15"/>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9_edei--EntityAddressPostalZipCode"/>
            <w:bookmarkEnd w:id="16"/>
            <w:r>
              <w:rPr>
                <w:rFonts w:ascii="Times New Roman;Times;Serif" w:hAnsi="Times New Roman;Times;Serif"/>
                <w:b/>
                <w:i w:val="false"/>
                <w:caps w:val="false"/>
                <w:smallCaps w:val="false"/>
                <w:sz w:val="20"/>
              </w:rPr>
              <w:t>32792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7" w:name="xdx_908_edei--CityAreaCode_c20250101__20"/>
            <w:bookmarkEnd w:id="17"/>
            <w:r>
              <w:rPr>
                <w:rFonts w:ascii="Times New Roman;Times;Serif" w:hAnsi="Times New Roman;Times;Serif"/>
                <w:b/>
                <w:i w:val="false"/>
                <w:caps w:val="false"/>
                <w:smallCaps w:val="false"/>
                <w:sz w:val="20"/>
              </w:rPr>
              <w:t xml:space="preserve">(203) </w:t>
            </w:r>
            <w:bookmarkStart w:id="18" w:name="xdx_905_edei--LocalPhoneNumber_c20250101"/>
            <w:bookmarkEnd w:id="18"/>
            <w:r>
              <w:rPr>
                <w:rFonts w:ascii="Times New Roman;Times;Serif" w:hAnsi="Times New Roman;Times;Serif"/>
                <w:b/>
                <w:i w:val="false"/>
                <w:caps w:val="false"/>
                <w:smallCaps w:val="false"/>
                <w:sz w:val="20"/>
              </w:rPr>
              <w:t>409-5444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50101"/>
            <w:bookmarkEnd w:id="19"/>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50101__2"/>
            <w:bookmarkEnd w:id="20"/>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C_edei--SecurityExchangeName_c2025"/>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by Rule 405 of the Securities Act. Yes ☐ </w:t>
      </w:r>
      <w:bookmarkStart w:id="22" w:name="xdx_90D_edei--EntityWellKnownSeasonedIss"/>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3" w:name="xdx_908_edei--EntityVoluntaryFilers_c202"/>
      <w:bookmarkEnd w:id="2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1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bookmarkStart w:id="25" w:name="xdx_904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2240"/>
        <w:gridCol w:w="230"/>
        <w:gridCol w:w="6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6" w:name="xdx_903_edei--EntityFilerCategory_c2025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7" w:name="xdx_90B_edei--EntitySmallBusiness_c20250"/>
            <w:bookmarkEnd w:id="27"/>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8" w:name="xdx_90E_edei--EntityEmergingGrowthCompan"/>
            <w:bookmarkEnd w:id="28"/>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bookmarkStart w:id="29" w:name="xdx_905_edei--IcfrAuditorAttestationFlag"/>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0" w:name="xdx_903_edei--DocumentFinStmtErrorCorrec"/>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1" w:name="xdx_904_edei--EntityShellCompany_dbF_c20"/>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stock held by non-affiliates of the registrant as of June 30, 2025 (the last business day of the registrant’s most recently completed second fiscal quarter) was approximately $</w:t>
      </w:r>
      <w:bookmarkStart w:id="32" w:name="xdx_90D_edei--EntityPublicFloat_iI_pn6n6"/>
      <w:bookmarkEnd w:id="32"/>
      <w:r>
        <w:rPr>
          <w:rFonts w:ascii="Times New Roman;Times;Serif" w:hAnsi="Times New Roman;Times;Serif"/>
          <w:b w:val="false"/>
          <w:i w:val="false"/>
          <w:caps w:val="false"/>
          <w:smallCaps w:val="false"/>
          <w:sz w:val="20"/>
        </w:rPr>
        <w:t>190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27, 2026, there were </w:t>
      </w:r>
      <w:bookmarkStart w:id="33" w:name="xdx_90D_edei--EntityCommonStockSharesOut"/>
      <w:bookmarkEnd w:id="33"/>
      <w:r>
        <w:rPr>
          <w:rFonts w:ascii="Times New Roman;Times;Serif" w:hAnsi="Times New Roman;Times;Serif"/>
          <w:b w:val="false"/>
          <w:i w:val="false"/>
          <w:caps w:val="false"/>
          <w:smallCaps w:val="false"/>
          <w:sz w:val="20"/>
        </w:rPr>
        <w:t>97,721,696 shares of the registrant’s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Shares and Special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there were outstanding 83,420,765 exchangeable shares of BST Sub ULC, a wholly owned subsidiary of the registrant. The exchangeable shares are exchangeable for an equal number of the registrant’s common stock, and carry rights substantially equivalent to the Company’s common stock, including rights to dividends, liquidation preferences, and voting (via a Special Voting Preferred Stock held by a trustee).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
        <w:gridCol w:w="60"/>
        <w:gridCol w:w="8752"/>
        <w:gridCol w:w="60"/>
        <w:gridCol w:w="621"/>
      </w:tblGrid>
      <w:tr>
        <w:trPr/>
        <w:tc>
          <w:tcPr>
            <w:tcW w:w="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PAGE</w:t>
            </w:r>
            <w:r>
              <w:rPr>
                <w:rFonts w:ascii="Times New Roman;Times;Serif" w:hAnsi="Times New Roman;Times;Serif"/>
                <w:b w:val="false"/>
                <w:i w:val="false"/>
                <w:caps w:val="false"/>
                <w:smallCaps w:val="false"/>
                <w:sz w:val="20"/>
              </w:rPr>
              <w:t> </w:t>
            </w:r>
          </w:p>
        </w:tc>
      </w:tr>
      <w:tr>
        <w:trPr/>
        <w:tc>
          <w:tcPr>
            <w:tcW w:w="9524" w:type="dxa"/>
            <w:gridSpan w:val="3"/>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Business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Unresolved Staff Comments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Cybersecurity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Properties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Legal Proceedings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524" w:type="dxa"/>
            <w:gridSpan w:val="3"/>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PART II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Reserved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Financial Statements and Supplementary Data</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VK_001">
              <w:r>
                <w:rPr>
                  <w:rStyle w:val="InternetLink"/>
                  <w:rFonts w:ascii="Times New Roman;Times;Serif" w:hAnsi="Times New Roman;Times;Serif"/>
                  <w:b w:val="false"/>
                  <w:i w:val="false"/>
                  <w:caps w:val="false"/>
                  <w:smallCaps w:val="false"/>
                  <w:sz w:val="20"/>
                </w:rPr>
                <w:t>Changes in and Disagreements with Accountants on Accounting and Financial Disclosures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VK_002">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VK_003">
              <w:r>
                <w:rPr>
                  <w:rStyle w:val="InternetLink"/>
                  <w:rFonts w:ascii="Times New Roman;Times;Serif" w:hAnsi="Times New Roman;Times;Serif"/>
                  <w:b w:val="false"/>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VK_004">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524" w:type="dxa"/>
            <w:gridSpan w:val="3"/>
            <w:tcBorders/>
            <w:shd w:fill="CCEEFF" w:val="clear"/>
            <w:vAlign w:val="center"/>
          </w:tcPr>
          <w:p>
            <w:pPr>
              <w:pStyle w:val="TableContents"/>
              <w:bidi w:val="0"/>
              <w:spacing w:before="0" w:after="283"/>
              <w:jc w:val="left"/>
              <w:rPr/>
            </w:pPr>
            <w:hyperlink w:anchor="VK_005">
              <w:r>
                <w:rPr>
                  <w:rStyle w:val="InternetLink"/>
                  <w:rFonts w:ascii="Times New Roman;Times;Serif" w:hAnsi="Times New Roman;Times;Serif"/>
                  <w:b/>
                  <w:i w:val="false"/>
                  <w:caps w:val="false"/>
                  <w:smallCaps w:val="false"/>
                  <w:sz w:val="20"/>
                </w:rPr>
                <w:t>PART III</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VK_006">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VK_007">
              <w:r>
                <w:rPr>
                  <w:rStyle w:val="InternetLink"/>
                  <w:rFonts w:ascii="Times New Roman;Times;Serif" w:hAnsi="Times New Roman;Times;Serif"/>
                  <w:b w:val="false"/>
                  <w:i w:val="false"/>
                  <w:caps w:val="false"/>
                  <w:smallCaps w:val="false"/>
                  <w:sz w:val="20"/>
                </w:rPr>
                <w:t>Executive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VK_008">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VK_009">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VK_010">
              <w:r>
                <w:rPr>
                  <w:rStyle w:val="InternetLink"/>
                  <w:rFonts w:ascii="Times New Roman;Times;Serif" w:hAnsi="Times New Roman;Times;Serif"/>
                  <w:b w:val="false"/>
                  <w:i w:val="false"/>
                  <w:caps w:val="false"/>
                  <w:smallCaps w:val="false"/>
                  <w:sz w:val="20"/>
                </w:rPr>
                <w:t>Principal Accounting Fees and Services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524" w:type="dxa"/>
            <w:gridSpan w:val="3"/>
            <w:tcBorders/>
            <w:shd w:fill="CCEEFF" w:val="clear"/>
            <w:vAlign w:val="center"/>
          </w:tcPr>
          <w:p>
            <w:pPr>
              <w:pStyle w:val="TableContents"/>
              <w:bidi w:val="0"/>
              <w:spacing w:before="0" w:after="283"/>
              <w:jc w:val="left"/>
              <w:rPr/>
            </w:pPr>
            <w:hyperlink w:anchor="VK_011">
              <w:r>
                <w:rPr>
                  <w:rStyle w:val="InternetLink"/>
                  <w:rFonts w:ascii="Times New Roman;Times;Serif" w:hAnsi="Times New Roman;Times;Serif"/>
                  <w:b/>
                  <w:i w:val="false"/>
                  <w:caps w:val="false"/>
                  <w:smallCaps w:val="false"/>
                  <w:sz w:val="20"/>
                </w:rPr>
                <w:t>PART IV</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pPr>
            <w:hyperlink w:anchor="VK_012">
              <w:r>
                <w:rPr>
                  <w:rStyle w:val="InternetLink"/>
                  <w:rFonts w:ascii="Times New Roman;Times;Serif" w:hAnsi="Times New Roman;Times;Serif"/>
                  <w:b w:val="false"/>
                  <w:i w:val="false"/>
                  <w:caps w:val="false"/>
                  <w:smallCaps w:val="false"/>
                  <w:sz w:val="20"/>
                </w:rPr>
                <w:t>Exhibits, Financial Statement Schedules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VK_013">
              <w:r>
                <w:rPr>
                  <w:rStyle w:val="InternetLink"/>
                  <w:rFonts w:ascii="Times New Roman;Times;Serif" w:hAnsi="Times New Roman;Times;Serif"/>
                  <w:b w:val="false"/>
                  <w:i w:val="false"/>
                  <w:caps w:val="false"/>
                  <w:smallCaps w:val="false"/>
                  <w:sz w:val="20"/>
                </w:rPr>
                <w:t>Form 10-K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7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52" w:type="dxa"/>
            <w:tcBorders/>
            <w:shd w:fill="FFFFFF" w:val="clear"/>
            <w:vAlign w:val="center"/>
          </w:tcPr>
          <w:p>
            <w:pPr>
              <w:pStyle w:val="TableContents"/>
              <w:bidi w:val="0"/>
              <w:spacing w:before="0" w:after="283"/>
              <w:jc w:val="left"/>
              <w:rPr/>
            </w:pPr>
            <w:hyperlink w:anchor="VK_014">
              <w:r>
                <w:rPr>
                  <w:rStyle w:val="InternetLink"/>
                  <w:rFonts w:ascii="Times New Roman;Times;Serif" w:hAnsi="Times New Roman;Times;Serif"/>
                  <w:b w:val="false"/>
                  <w:i w:val="false"/>
                  <w:caps w:val="false"/>
                  <w:smallCaps w:val="false"/>
                  <w:sz w:val="20"/>
                </w:rPr>
                <w:t>Signatures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01"/>
      <w:bookmarkEnd w:id="34"/>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on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(including the section regarding Management’s Discussion and Analysis of Financial Condition and Results of Operations) contains forward-looking statements that involve substantial risks and uncertainties. All statements other than statements of historical fact contained in this Annual Report on Form 10-K are forward-looking statements. These forward-looking statements relate to, among other things, our business, financial condition, results of operations, and prospects, including, but not limited to, statements regarding our business strategy and objectives; our expectations concerning the regulatory compliance, and commercialization of our products and services (including our digital asset tokenization platform and the GLDY gold-backed digital token, which has launched and is actively accepting subscriptions); the integration and development of the Streamex business; our future capital needs and financial position, including our ability to raise capital or refinance obligations and the impact on our liquidity; our plans to develop additional tokenized financial products and any expected benefits, adoption, or regulatory approvals related thereto; our anticipated future operating results; and our plans and prospects for sales, marketing, and product expansion in our digital asset segments. In some cases, you can identify forward-looking statements by terminology such as “anticipate,” “believe,” “contemplate,” “continue,” “could,” “estimate,” “expect,” “intend,” “may,” “plan,” “potential,” “predict,” “project,” “seek,” “should,” “target,” “will,” “would,” or the negative of these terms, and similar expressions or variations of such words.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forward-looking statements in this Annual Report on Form 10-K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below, as well as those discussed elsewhere in this Annual Report on Form 10-K, including risks and uncertainties related to (among other things) the technical and market feasibility of digital asset products (such as our GLDY gold-backed token, which has launched, and related tokenization platforms); evolving regulatory requirements applicable to digital assets, token offerings, and related financial services activities; difficulties or delays in integrating acquired businesses or realizing anticipated benefits from such acquisitions; volatility in the market price of gold or other underlying assets; development, clinical validation, and regulatory clearance of medical devices and related software; our ability to manage and finance our operations and repay or refinance indebtedness; our dependence on key personnel; our relationships with strategic partners, third-party custodians, manufacturers, and suppliers; and the outcome of corporate transactions and financing arrangements. Readers are urged not to place undue reliance on these forward-looking statements, which speak only as of the date of this Annual Report on Form 10-K. We file reports with the Securities and Exchange Commission (“SEC”). The SEC maintains an Internet site (www.sec.gov) that contains reports, proxy and information statements, and other information regarding issuers that file electronically with the SEC, including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revise or update any forward-looking statements in order to reflect any event or circumstance that may arise after the date of this Annual Report on Form 10-K, except as required by law. Readers are urged to carefully review and consider the various disclosures made throughout the entirety of this Annual Report on Form 10-K, including the disclosures under the heading “Risk Factors,” which attempt to advise interested parties of the risks and factors that may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Annual Report on Form 10-K to the “Company,” “we,” “us,” “our,” “Streamex,” or similar terms refer to Streamex Corp., a Delaware corporation,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 </w:t>
      </w:r>
      <w:bookmarkStart w:id="35" w:name="a_002"/>
      <w:bookmarkEnd w:id="35"/>
      <w:r>
        <w:rPr>
          <w:rFonts w:ascii="Times New Roman;Times;Serif" w:hAnsi="Times New Roman;Times;Serif"/>
          <w:b/>
          <w:i w:val="false"/>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(formerly BioSig Technologies, Inc.) (“Streamex,” “we,” “us,” or the “Company”) was originally formed as a Nevada corporation in February 2009 and reincorporated in Delaware in April 2011 through a merger with its wholly owned Delaware subsidiary, with the Delaware entity surviving.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the acquisition of Streamex Exchange Corporation (“Streamex Exchange”), a corporation incorporated under the laws of British Columbia on April 5, 2024. The acquisition was consummated pursuant to a share purchase agreement dated May 23, 2025, as amended (the “Share Purchase Agreement”).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Exchange acquisition was structured through the issuance of exchangeable shares by the Company’s wholly owned British Columbia unlimited liability company subsidiary (“ExchangeCo”). Each exchangeable share is exchangeable, on a one-for-one basis and subject to certain adjustments, for a share of the Company’s common stock. The holders of exchangeable shares would be entitled to exchange such shares for an aggregate of 109,070,039 shares of the Company’s common stock representing up to 75% of the Company’s fully diluted common stock as of the Agreement date. The exchangeable shares carry rights that are substantially equivalent to those of the Company’s common stock. On November 4, 2025, the Company obtained shareholder approval, which removed the conversion cap and allowed holders to exchange the exchangeable shares into the Company’s common stock in accordance with the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changed its name from BioSig Technologies, Inc. to Streamex Corp., and on September 12, 2025, its common stock, listed on The Nasdaq Capital Market, began trading under the ticker symbol “STEX,” replacing the former ticker symbol “BSGM.”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business is tokenized finance and real-world asset (“RWA”) digitization, conducted through Streamex. The Company also retains a legacy healthcare technology innovation, focused on advanced signal acquisition and analysis through the Company’s PURE EP™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2018, the Company formed a Delaware subsidiary originally named NeuroClear Technologies, Inc. to pursue additional applications of its signal processing technology outside of cardiac electrophysiology. In March 2020, this subsidiary was renamed ViralClear Pharmaceuticals, Inc. (“ViralClear”). As of December 31, 2025, the Company owned approximately 69.7% of ViralClear’s outstanding equity. See “ViralClear Business Overview”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2020, the Company formed another Delaware subsidiary, NeuroClear Technologies, Inc., which was renamed BioSig AI Sciences, Inc. (“BioSig AI”) on May 31, 2023. BioSig AI was established to pursue applications in cardiac and neurological disorders through advanced recordings and analyses of action potentials, including artificial intelligence-enabled diagnostic and therapeutic technologies. As of December 31, 2025, the Company owned approximately 84.5% of BioSig AI’s outstanding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technology company with two principal lines of business: (i) Tokenized Asset Finance, focused on digital asset and real-world asset tokenization via our Streamex Exchange platform, and (ii) Biomedical Technology, focused on advanced signal processing solutions in electrophysiology. In 2025, we expanded beyond our historical biomedical business through the strategic acquisition of Streamex Exchange, a developer of blockchain-based financial technology. This acquisition (completed in May 2025) marked our entry into financial technology, specifically the tokenization of real-world assets (“RWAs”), such as precious metals, via secure digital tokens.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Streamex Exchange platform (developed by Streamex Exchange prior to its acquisition) is designed as an institutional-grade system that enables the issuance, trading, and custody of digital tokens backed by tangible assets. The initial application of this platform is in the tokenized gold market: we have launched a tokenized gold product called GLDY, which provides investors with a digital token representing fractional interests in a special purpose vehicle domiciled in the Cayman Islands (the “SPV”), which holds physical gold and participates in a gold leasing program. Each GLDY Token corresponds to one troy ounce of gold held by the SPV, with yield features generated through gold leasing activities administered through a Tokenized Yield Partnership Agreement (the “MM Agreement”), by and between the Company and Monetary Metals &amp; Co., a Delaware corporation (“Monetary Metals”). The Company intends to issue other products offering tokenized exposure to metals and other commodities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integration of the Streamex Exchange business, the Company intends to position itself as a leader in financial technology. Our long-term vision is to leverage our expertise in high-fidelity signal processing and secure, scalable transactions to facilitate the digital transformation of real-world assets in a regulated, transparent manner, while continuing to support our advanced medical devices that improve patient care.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Streamex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developed and is operating an institutional grade technology platform that supports the tokenization of real-world assets, including gold, and other physical commodity asset interests. The Company operates as an infrastructure provider, enabling the issuance, trading, and backend infrastructure for digital tokens backed by tangible commodities, beginning with gold.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is a technology focused Company on digital infrastructure for the tokenization and exchange of real-world assets and other commodity-linked financial products. On May 28, 2025, we acquired Streamex Exchange, a software development company based in Vancouver, British Columbia. In connection with this strategic expansion, on September 12, 2025, we changed our corporate name from BioSig Technologies, Inc. to Streamex Corp., and effective September 12, 2025, our common stock began trading on The Nasdaq Capital Market under the ticker symbol “STEX” (formerly “BSGM”).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the acquisition of Streamex Exchange pursuant to that certain Share Purchase Agreement dated as of May 23, 2025 (as amended on May 27, 2025, the “Share Purchase Agreement”) by and among the Company, BST Sub ULC, an unlimited liability company organized under the laws of the Province of British Columbia and a wholly owned subsidiary of the Company (“ExchangeCo”), 1540875 B.C. Ltd., a British Columbia company and a wholly owned subsidiary of the Company (“Callco”), the shareholders of Streamex Exchange, and 1540873 B.C. Ltd., as trustee (the “Trustee”) under the exchange rights agreement entered into among the Company, ExchangeCo, Callco, and the Trustee (the “Exchange Rights Agreement”). Streamex Exchange is a software development company based in Vancouver, British Columbia focused on building digital tools and platforms intended to facilitate commodity trading and finance.</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85"/>
        <w:gridCol w:w="45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Tokenized Real-World Assets (RWAs).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Decentralized exchange infrastructure.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placement and capital markets access platforms.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denominated structured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outputs are expected to enable monetization through multiple fee-based and recurring revenue models across the commodity and digital asset lifecycle.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Streamex Potential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revenue model consists of the following core business lines: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Tokenization of Real-World Assets (RWAs)</w:t>
            </w:r>
            <w:r>
              <w:rPr>
                <w:rFonts w:ascii="Times New Roman;Times;Serif" w:hAnsi="Times New Roman;Times;Serif"/>
                <w:b w:val="false"/>
                <w:i w:val="false"/>
                <w:caps w:val="false"/>
                <w:smallCaps w:val="false"/>
                <w:sz w:val="20"/>
              </w:rPr>
              <w:t>: Streamex seeks to enable the digital transformation of tangible and intangible assets—such as gold and other commodities—into blockchain-based tokens. Revenue is generated through:</w:t>
            </w:r>
          </w:p>
        </w:tc>
      </w:tr>
    </w:tbl>
    <w:p>
      <w:pPr>
        <w:pStyle w:val="TextBody"/>
        <w:bidi w:val="0"/>
        <w:spacing w:before="0" w:after="0"/>
        <w:ind w:left="0" w:right="0" w:hanging="0"/>
        <w:jc w:val="center"/>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fees on new token creation;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trading and exchange-related transaction fees;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Spread from yield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Infrastructure</w:t>
            </w:r>
            <w:r>
              <w:rPr>
                <w:rFonts w:ascii="Times New Roman;Times;Serif" w:hAnsi="Times New Roman;Times;Serif"/>
                <w:b w:val="false"/>
                <w:i w:val="false"/>
                <w:caps w:val="false"/>
                <w:smallCaps w:val="false"/>
                <w:sz w:val="20"/>
              </w:rPr>
              <w:t>: Streamex will operate a compliant digital issuance platform for tokenized assets. The platform supports listing, custody, and liquidity mechanisms for RWAs. Revenue streams include:</w:t>
            </w:r>
          </w:p>
        </w:tc>
      </w:tr>
    </w:tbl>
    <w:p>
      <w:pPr>
        <w:pStyle w:val="TextBody"/>
        <w:bidi w:val="0"/>
        <w:spacing w:before="0" w:after="0"/>
        <w:ind w:left="0" w:right="0" w:hanging="0"/>
        <w:jc w:val="center"/>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85"/>
        <w:gridCol w:w="383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and trading fees;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fees for new tokens;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provisioning incentives and spreads.</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Private Placement and Capital Markets Access</w:t>
            </w:r>
            <w:r>
              <w:rPr>
                <w:rFonts w:ascii="Times New Roman;Times;Serif" w:hAnsi="Times New Roman;Times;Serif"/>
                <w:b w:val="false"/>
                <w:i w:val="false"/>
                <w:caps w:val="false"/>
                <w:smallCaps w:val="false"/>
                <w:sz w:val="20"/>
              </w:rPr>
              <w:t>: Streamex intends to offer access to tokenized instruments representing private placements and structured deals for institutional and qualified investors. Revenue sources include:</w:t>
            </w:r>
          </w:p>
        </w:tc>
      </w:tr>
    </w:tbl>
    <w:p>
      <w:pPr>
        <w:pStyle w:val="TextBody"/>
        <w:bidi w:val="0"/>
        <w:spacing w:before="0" w:after="0"/>
        <w:ind w:left="0" w:right="0" w:hanging="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and origination fees;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fees;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Subscription-based services and investor access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Streamex’s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has launched a tokenized gold product called GLDY, tokenized security representing fractional interests in the SPV, which is designed to provide investors with yield on gold leases. This asset is designed to provide accredited and qualified investors with exposure to the spot price of gold through the SPV’s physical gold storage, as well as a yield from the SPV’s gold leasing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expects to earn revenue through tokenization fees, trading fees, and yield spreads, while operating with minimal direct exposure to 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plans to scale its operations through:</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185"/>
        <w:gridCol w:w="96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the number and volume of GLDY issued.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secondary marketplace token liquidity.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the platform to support additional asset classes such as industrial metals, energy royalties, and other RWAs.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Partnering with institutional market participants for underwriting, syndication, and capital markets integration.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intends to scale its internal treasury strategy, re-deploying capital across multiple token issuance cycles per year to increase gold-linked asset holdings and maximize capital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proprietary tokenization protocol supports:</w:t>
      </w:r>
    </w:p>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85"/>
        <w:gridCol w:w="31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onboarding and digitization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contract enforcement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onboarding (with AML/KYC)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and compliance workflows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seeks to actively develop features such as real-time proof-of-reserves dashboards, physical redemption protocols, and third-party custodial integrations.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BioSig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retains a legacy technology business focused on advanced digital signal processing solutions for electrophysiology. The Company’s PURE EP™ Platform (“PURE EP™”), is designed to deliver real-time, high-fidelity cardiac signal data to electrophysiologists during ablation procedures for the treatment of cardiovascular arrhythmias.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PURE EP™ Platform enables the acquisition of raw intracardiac signals with minimal noise and interference, supporting improved procedural outcomes and clinical decision-making. By preserving the integrity of complex cardiac signals, PURE EP™ is intended to enhance workflow efficiency and support the treatment of challenging arrhythmias, including ventricular tachycardia (VT) and atrial fibrillation (AF).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quarters, we have shifted our strategic focus from commercial hardware distribution to the research and development of proprietary software algorithms. These algorithms aim to advance the understanding of cardiac tissue characteristics and ablation mechanisms. Data collection efforts began in December 2023 and remain ongoing. A key area of focus is improving the specificity and long-term outcomes of pulsed field ablation (PFA), a rapidly adopted technique in electrophysiology.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intellectual property portfolio related to the medical device business includes: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issued or allowed utility patents, of which 34 list the Company as at least one of the applicants;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pending U.S. and foreign utility patent applications, jointly or solely filed by the Company and Mayo Foundation for Medical Education and Research (“Mayo”);</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issued U.S. patent and 1 pending U.S. application related to artificial intelligence (AI);</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issued worldwide design patents, covering display screens and graphical user interfaces for biomedical signal visualization;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issued/allowed patents and 7 pending applications licensed from Mayo, primarily directed to electroporation and stimulation technologies.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strategic alternatives for its legacy majority-owned subsidiaries ViralClear Pharmaceuticals, Inc. (“ViralClear”) and BioSig AI Sciences, Inc. (“BioSig AI”).</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ViralClear was established to pursue additional applications of PURE EP™ signal processing technology outside of EP. Subsequently it also was developing merimepodib, a broad-spectrum anti-viral agent that showed potential to treat COVID-19. We ceased the development of merimepodib in late 2020 and realigned ViralClear with its original objective. Currently, the business is dormant and ViralClear’s business objectives are being evaluated. As of December 31, 2025, the Company held a majority interest of approximately 69.7% in ViralClear.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BioSig AI was established to pursue clinical needs of cardiac and neurological disorders through recordings and analyses of action potentials. BioSig AI aims to contribute to the advancements of AI-based diagnoses and therapies. BioSig AI was developing AI solutions for the hospital marketplace utilizing structured, semi-structured, and unstructured data. BioSig AI’s business operations have currently been placed on hold. At December 31, 2025, the Company held a majority interest of approximately 84.5% in BioSig 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held majority interests of approximately 69.7% and 69.08%, respectively, in ViralClear. As of December 31, 2025 and 2024, the Company held majority interests of approximately 84.5% in BioSig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GLDY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25, 2026, Streamex officially launched GLDY and opened its platform, app.streamex.com, to accept subscriptions from qualified investors. Investors can view information about GLDY on Streamex’s website, and view data about its deployment at </w:t>
      </w:r>
      <w:r>
        <w:rPr>
          <w:rFonts w:ascii="Times New Roman;Times;Serif" w:hAnsi="Times New Roman;Times;Serif"/>
          <w:b w:val="false"/>
          <w:i w:val="false"/>
          <w:caps w:val="false"/>
          <w:smallCaps w:val="false"/>
          <w:sz w:val="20"/>
          <w:u w:val="single"/>
        </w:rPr>
        <w:t>https://app.rwa.xyz/assets/GLDY</w:t>
      </w:r>
      <w:r>
        <w:rPr>
          <w:rFonts w:ascii="Times New Roman;Times;Serif" w:hAnsi="Times New Roman;Times;Serif"/>
          <w:b w:val="false"/>
          <w:i w:val="false"/>
          <w:caps w:val="false"/>
          <w:smallCaps w:val="false"/>
          <w:sz w:val="20"/>
        </w:rPr>
        <w:t>. Information contained on, or accessible through, these websites is not incorporated by reference into, and does not form a part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Underwritten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closed on an underwritten public offering with Needham &amp; Company, LLC, as representative of the several underwriters (the “Underwriters”), pursuant to which the Company sold and issued to the Underwriters an aggregate of 11,666,667 shares of the Company’s common stock, at $3.00 per share. In addition, on January 27, 2026, the Underwriters fully-exercised their over-allotment option, purchasing an additional 1,750,000 shares of common stock at the public offering price, less underwriting discounts and commissions. The aggregate gross proceeds to the Company from the offering (including the over-allotment option), before deducting the underwriting commissions and other estimated offering expenses, were $40.25 million. The Company used the net proceeds from the Offering to repay prior indebtedness in accordance with our financing strategy, and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Secured Convertible Debenture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we entered into a Debenture Purchase Agreement (as amended, the “DPA”) with YA II PN, Ltd. (“Yorkville”), pursuant to which we may issue, subject to conditions, up to $50.0 million aggregate principal amount of secured convertible debentures (with an additional $50.0 million option subject to mutual agreement). We issued a $25.0 million first tranche on November 4, 2025 (net proceeds of approximately $22.2 million), of which $12.6 million was allocated to vaulted physical gold, and a $25.0 million second tranche on December 17, 2025 at 96% of principal (before expenses). The November 4, 2025 debenture and the December 17, 2025 debenture mature on November 4, 2027 and December 17, 2027, respectively, the debentures bear interest at 4.00% per annum (increasing to 18.00% upon an event of default until cured), and are convertible into shares of our common stock at a conversion price equal to the lower of (i) $6.016 per share (subject to a one-time downward-only reset) and (ii) 97.0% of the lowest daily VWAP during the three trading days immediately preceding conversion, subject to a $4.00 floor and customary adjustments; conversions are subject to a 4.99% beneficial ownership limitation. We may prepay the debentures prior to maturity, subject to a 10% prepayment premium and a notice period during which Yorkville retains the right to convert, and there can be no assurance that we will be able to issue any additional debentures under the DPA. Pursuant to a registration rights agreement, we filed a resale registration statement on November 19, 2025, which the SEC declared effective on December 10, 2025, to register the shares issuable upon conversion (including interest). On January 22, 2026, we delivered an irrevocable optional prepayment notice; on February 6, 2026, Yorkville converted $15.0 million of principal at $4.00 per share, resulting in the issuance of 3,750,000 shares, and we prepaid the remaining amounts for an aggregate cash payoff of $38.9 million (comprised of $35.0 million principal, $3.5 million prepayment premium, and $403 accrued interest), after which the related security interests were released.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we entered into the SEPA with Yorkville, pursuant to which the Company has the right, but not the obligation, to issue and sell to Yorkville up to $1.0 billion of its common stock, from time to time during the 36-month commitment period under the SEPA, subject to certain terms, limitations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we delivered a notice to Yorkville terminating the SEPA, effective as of January 29, 2026. During the term of the SEPA, we did not sell any shares of common stock under the SEPA.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 Infrastructure and Real-World Asset Tokenization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the emerging digital financial infrastructure industry, with a focus on the tokenization, issuance, custody, and exchange of real-world assets (“RWAs”), beginning with precious metals such as gold. Real-world asset tokenization refers to the representation of ownership interests in physical or financial assets through blockchain-based digital tokens. These tokens are designed to reflect direct or indirect economic exposure to the underlying asset and may facilitate improved transferability, settlement efficiency, transparency, and programmability relative to traditional financial instruments.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ownership and financing of physical commodities such as gold have relied on a combination of physical custody arrangements, warehouse receipts, exchange-traded products, and over-the-counter contracts. These structures often involve multiple intermediaries, limited transparency into underlying reserves, manual reconciliation processes, extended settlement cycles, and operational friction. In addition, access to commodity-backed yield products has traditionally been limited to institutional participants or specialized financial vehicles.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advances in distributed ledger technology, cryptographic security, and digital custody frameworks have enabled the development of platforms that seek to modernize commodity ownership and financing by integrating physical asset custody with digital issuance and transfer mechanisms. Tokenized commodity platforms are intended to allow for fractionalized ownership, near-real-time settlement, enhanced auditability, and programmable compliance features, while maintaining linkage to physical assets held in secure custody.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Gold-Backed Digital Assets and Yield Structures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has historically served as a store of value and a monetary asset, particularly during periods of macroeconomic uncertainty, inflation, or geopolitical instability. Demand for gold exposure spans retail, institutional, and sovereign participants and includes both investment and treasury management use cases. Traditional gold investment vehicles include physical bullion, allocated and unallocated accounts, exchange-traded funds, futures contracts, and leasing arrangements. Each of these structures carries varying degrees of counterparty risk, liquidity constraints, settlement complexity, and operational overhead.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Tokenized gold products seek to combine attributes of physical ownership with the operational efficiencies of digital assets. These products may be structured to provide exposure to spot gold prices, enable transferability through blockchain-based systems, and, in certain cases, incorporate yield-generating mechanisms derived from underlying leasing, financing, or structured arrangements. Yield-bearing gold products have historically been limited in accessibility and often require specialized counterparties, minimum investment sizes, or bespoke contractual frameworks.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Streamex platform is being developed to support compliant issuance and lifecycle management of tokenized commodity linked products, including gold denominated instruments. accredited, qualified, or institutional investors, as applicable.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Evolution and Institutional Adoption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 industry has evolved beyond cryptocurrencies toward infrastructure supporting regulated financial instruments, tokenized securities, and on-chain representations of traditional assets. Financial institutions, commodity market participants, and technology providers are increasingly exploring blockchain-based systems for settlement, custody, collateral management, and issuance of asset-backed products. This evolution has been driven by demand for operational efficiency, improved risk management, enhanced transparency, and reduced settlement times.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Institutional adoption of digital asset infrastructure has accelerated as regulatory clarity, enterprise-grade custody solutions, and compliance tooling have improved. At the same time, market participants continue to face challenges related to interoperability, regulatory uncertainty, counterparty risk, cybersecurity, and scalability. Platforms operating in this industry must address these challenges through robust governance frameworks, secure system architecture, third-party custody arrangements, and comprehensive compliance controls.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Environment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tokenization and digital asset infrastructure industry is subject to an evolving and complex regulatory landscape that varies by jurisdiction. Activities related to the issuance, trading, custody, and settlement of tokenized assets may be subject to regulation under securities laws, commodities laws, anti-money laundering and know-your-customer requirements, and other financial services regulations. Regulatory authorities in multiple jurisdictions continue to evaluate and refine frameworks applicable to digital assets and tokenized financial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applicable regulatory requirements is a critical component of operating in this industry. Market participants must design systems and products that incorporate appropriate investor eligibility controls, disclosure practices, custody safeguards, and reporting mechanisms. Regulatory developments may impact product design, market access, operating costs, and the timing or feasibility of commercial launches.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Industry Risks and Competitive Landscape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asset and tokenized RWA industry is characterized by rapid technological change, evolving standards, and increasing competition from both established financial institutions and emerging technology firms. Competitors may include digital asset exchanges, commodity trading platforms, fintech companies, and traditional financial services providers developing proprietary blockchain-based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inherent in the industry include technology failures, cybersecurity incidents, regulatory changes, market volatility, counterparty risk, and uncertainty regarding user adoption.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Streamex Digital Asset Infrastructure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Streamex, the Company operates a digital infrastructure business focused on the tokenization, issuance, and lifecycle management of real world asset (“RWA”) financial products, with an initial emphasis on gold backed and commodity linked instruments. Streamex operates as a technology and infrastructure platform intended to support digital issuance, custody integration, and transactional workflows for asset backed financial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(the “Streamex Platform”) is designed to operate as an infrastructure provider rather than a principal commodity owner or trading counterparty. The platform is intended to enable third-party issuers, institutional participants, and qualified investors to access tokenized representations of real-world assets within applicable regulatory frameworks. Streamex is not designed to take proprietary commodity price exposure and is structured to operate with limited direct exposure to underlying commodity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Model and Platform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business model is focused on the development and operation of the Streamex Platform, a software based infrastructure solution that supports the digital representation and administration of tokenized RWA products. The platform is intended to support multiple stages of the asset lifecycle, including onboarding, issuance, transfer, settlement, reporting, and redemption, subject to applicable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is being designed to support:</w:t>
      </w:r>
    </w:p>
    <w:p>
      <w:pPr>
        <w:pStyle w:val="TextBody"/>
        <w:bidi w:val="0"/>
        <w:spacing w:before="0" w:after="0"/>
        <w:ind w:left="0" w:right="0" w:hanging="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Tokenized real-world asset issuance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recordkeeping and transaction processing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with third-party custodians and service providers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eligibility, compliance, and reporting workflows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Streamex Platform to generate revenue primarily through fee based models, including issuance fees, transaction based fees, platform access fees, and other recurring or usage based fees, depending on product structure and market adoption. While subscriptions for GLDY are actively being accepted, Streamex has not yet generated material revenue from its fee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Product Focus: Gold-Linked Digital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ongoing development of the Streamex Platform, Streamex has announced the launch of GLDY (“GLDY”), a gold backed tokenized security representing fractional interests in a Cayman Islands exempted company (the “GLDY SPV”), which holds physical gold in custody with an LBMA-accredited custodian and participates in a gold leasing program administered by Monetary Metals. GLDY is currently being offered and sold on the Streamex Platform to accredited and qualified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has historically served as a store of value and a component of institutional and treasury level asset allocation strategies. Traditional gold investment and financing structures often involve operational complexity, limited transparency, and settlement inefficiencies. Tokenized gold structures seek to combine attributes of physical ownership with digital transaction capabilities, including enhanced transparency, transferability, and reporting functionality.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is intended to support the issuance and administration of GLDY, as well as any other tokenized RWA products developed in the future, in each case without investors taking direct ownership of, or trading positions in, the underlying assets of such RWA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Technology and Development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incorporates security, access controls, auditability, and data integrity features consistent with enterprise-grade financial infrastructure requirements. The Company continues to invest in platform enhancements, compliance workflows, and third-party integrations to support ongoing operations and future product development.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incurring development, compliance, and operating costs related to Streamex as it scales operations, expands product offerings, and supports the issuance and administration of GLDY and future tokenized asset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tokenization and digital asset infrastructure industry is subject to evolving and complex regulatory requirements that vary by jurisdiction. Activities related to the issuance, transfer, custody, and settlement of tokenized assets may be subject to regulation under securities laws, commodities laws, anti-money laundering and know-your-customer regulations, and other financial services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for Streamex-supported products to operate within applicable regulatory requirements. However, regulatory interpretations and requirements may change, and such changes could impact product design, timing, operating costs, or the feasibility of commercial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Landscape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asset and real-world asset tokenization market is characterized by rapid technological change and increasing competition from both established financial institutions and emerging technology firms. Competitors may include digital asset platforms, fintech companies, commodity market participants, and traditional financial services providers developing proprietary digital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Streamex business include, but are not limited to, regulatory uncertainty, technology development risk, cybersecurity risk, market adoption risk, integration with third-party service providers, and operational execution risk. There can be no assurance that Streamex will achieve commercial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Technology and Development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technology and development activities are focused primarily on digital asset infrastructure for the tokenization and administration of real world assets through the Streamex Platform, a software based digital infrastructure platform intended to support the tokenization, issuance, and lifecycle management of real world asset instruments, including GLDY and other tokenized products that may be developed in the future. Technology development efforts continue to focus on platform enhancements, compliance and regulatory workflows, system security, auditability, and integration with third party custodians and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supports asset onboarding, digital issuance, transaction processing, reporting, and redemption functionality, subject to applicable regulatory requirements. The Company expects to continue incurring development, compliance, and operating costs related to the Streamex Platform as it scales operations and pursues additional product launches.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is now operational and is currently supporting the issuance and administration of GLDY. Accredited and qualified investors are permitted to purchase and hold GLDY. Over time, customers are expected to include institutional participants, qualified investors, and third-party issuers, subject to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asset and real-world asset tokenization market is highly competitive and rapidly evolving. Competitors may include digital asset platforms, fintech companies, commodity market participants, and traditional financial institutions developing proprietary blockchain-based infrastructure. Many potential competitors have substantially greater financial, technical, and operational resources than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this market is driven by factors including regulatory compliance capabilities, technology reliability, security, integration with custodians and financial institutions, and market adoption. There can be no assurance that Streamex will be able to compete effectively or achieve commercial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financial firms are entering the RWA tokenization arena: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Pax Gold (PAXG)</w:t>
            </w:r>
            <w:r>
              <w:rPr>
                <w:rFonts w:ascii="Times New Roman;Times;Serif" w:hAnsi="Times New Roman;Times;Serif"/>
                <w:b w:val="false"/>
                <w:i w:val="false"/>
                <w:caps w:val="false"/>
                <w:smallCaps w:val="false"/>
                <w:sz w:val="20"/>
              </w:rPr>
              <w:t> issues gold-backed tokens, redeemable one-for-one for physical gold stored in LBMA vaults, with $810M market cap.</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Securitize, Inc.</w:t>
            </w:r>
            <w:r>
              <w:rPr>
                <w:rFonts w:ascii="Times New Roman;Times;Serif" w:hAnsi="Times New Roman;Times;Serif"/>
                <w:b w:val="false"/>
                <w:i w:val="false"/>
                <w:caps w:val="false"/>
                <w:smallCaps w:val="false"/>
                <w:sz w:val="20"/>
              </w:rPr>
              <w:t>, a regulated issuer of security tokens, has enabled $4B+ in tokenized assets (including tokenized treasury and equity funds) using regulated infrastructure.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Tradeweb</w:t>
            </w:r>
            <w:r>
              <w:rPr>
                <w:rFonts w:ascii="Times New Roman;Times;Serif" w:hAnsi="Times New Roman;Times;Serif"/>
                <w:b w:val="false"/>
                <w:i w:val="false"/>
                <w:caps w:val="false"/>
                <w:smallCaps w:val="false"/>
                <w:sz w:val="20"/>
              </w:rPr>
              <w:t> and other institutional platforms are integrating blockchain capabilities into conventional markets, complementing the trend.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RWA tokenization platforms—e.g., Tokeny, Polymesh, and Spydra—span real estate, carbon credit, and commodities segments, reflecting broadening market demand. This evolving landscape validates Streamex’s initiative while highlighting the need for strong competitive positioning.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has established operational relationships with third-party service providers that are material to its tokenization business. With respect to GLDY, the Company has engaged, either directly or indirectly through its relationships with subsidiaries, affiliates, the GLDY SPV and other third parties, a fund administrator, a gold leasing agent, a gold custodian, and an auditor. The Company relies on an LBMA-accredited custodian for physical gold storage to support the administration of GLDY, and the gold leasing program in which the GLDY SPV participates is administered through the MM Agreement. The success of GLDY and the Company’s broader tokenization operations facilitated via the Streamex Platform depend on the continued performance of these and other key service providers, and any failure, insolvency, or withdrawal of services by any one of these providers could adversely affect the Company’s ability to operate the platform and support its current or future tokenized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ViralClear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ViralClear Pharmaceuticals, Inc. (“ViralClear”) is a majority-owned subsidiary of the Company originally known as NeuroClear Technologies, Inc. The subsidiary was established November 2018 to pursue additional applications of PURE EP™ signal processing technology outside of EP. In March 2020, it was renamed ViralClear in connection with its prior objective to develop merimepodib, a broad-spectrum anti-viral agent that showed potential to treat COVID-19. We had ceased the development of merimepodib in late 2020 and realigned ViralClear with its original objective, however, currently the business is dormant.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 Sciences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BioSig AI 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2020, the Company formed NeuroClear Technologies, Inc., a Delaware corporation, which was renamed to BioSig AI Sciences, Inc. (“BioSig AI”) on May 31, 2023. The subsidiary was established to pursue clinical needs of cardiac and neurological disorders through recordings and analyses of action potentials. BioSig AI aims to contribute to the advancements of AI-based diagnoses and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BioSig AI is a medical technology company that was developing AI solutions for the hospital marketplace utilizing structured, semi-structured, and unstructured data. BioSig AI’s business operations have currently been placed on hold due to lack of resources. The Company’s former established technology team with external partners and collaborators were joined to advance the research and development of an artificial intelligence (“AI”) medical device platform.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with our medical device technology depends in large part on our ability to establish and maintain the proprietary nature of our technology. We have retained Sterne Kessler Goldstein &amp; Fox P.L.L.C., a patent firm based in Washington DC, to help develop and execute a strategy for the development of our patent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patent portfolio now includes 46 issued/allowed utility patents (34 utility patents where the Company is at least one of the applicants). Thirty additional U.S. and foreign utility patent applications are pending covering various aspects of our PURE EP System for recording, measuring, calculating and displaying of electrocardiograms during cardiac ablation procedures (30 U.S. and foreign utility patent applications where either the Company, Mayo, or both is at least one of the applicants). We also have one U.S. patent and one U.S. pending application directed to artificial intelligence (AI). We also have 30 issued worldwide design patents, which cover various features of our display screens and graphical user interface for enhanced visualization of biomedical signals (30 design patents where the Company is at least one of the applicants). Finally, we have licenses to 12 (issued/allowed) patents and 7 additional worldwide utility patent applications from Mayo Foundation for Medical Education and Research that are pending (12 issued/allowed patents and 7 applications where only Mayo is the applicant). These patents and applications are generally directed to electroporation and stimulation.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ViralClear signed three patent and know-how license agreements with Mayo Foundation for Medical Education and Research in November 2019. Under the terms of such agreements, the Company exclusively licensed additional patents and applications of the Mayo Clinic related to novel ways for ablation therapy and to treat autonomic nervous system disease including hardware, software and algorithmic solutions to be integrated into PURE EPtechnology. The Company intends to take the licensed intellectual properties and products, which have been developed by Mayo Clinic over the last decade, through FDA approval, manufacturing, and commercialization. The development program is run under the leadership of Dr. Asirvatham. On March 5, 2021, we announced that the U.S. Patent Office had allowed a utility patent that ViralClear has exclusively licensed from the Mayo Foundation for Medical Education and Research. The patent application number 16,805,017 entitled, “</w:t>
      </w:r>
      <w:r>
        <w:rPr>
          <w:rFonts w:ascii="Times New Roman;Times;Serif" w:hAnsi="Times New Roman;Times;Serif"/>
          <w:b w:val="false"/>
          <w:i/>
          <w:caps w:val="false"/>
          <w:smallCaps w:val="false"/>
          <w:sz w:val="20"/>
        </w:rPr>
        <w:t>Systems and Methods for Electroporation”</w:t>
      </w:r>
      <w:r>
        <w:rPr>
          <w:rFonts w:ascii="Times New Roman;Times;Serif" w:hAnsi="Times New Roman;Times;Serif"/>
          <w:b w:val="false"/>
          <w:i w:val="false"/>
          <w:caps w:val="false"/>
          <w:smallCaps w:val="false"/>
          <w:sz w:val="20"/>
        </w:rPr>
        <w:t xml:space="preserve"> was filed on February 28, 2020. The patent describes and claims methods and materials for improving the treatment of hypertension via electroporation of nerves in the renal area. Electroporation is an emerging technique that has demonstrated efficacy in treatments for several critical conditions and is currently being evaluated for the treatments of autonomic nervous disorders, including hyper- and hypotension / syncope.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trademark for “BIOSIG TECHNOLOGIES” was registered on April 25, 2017.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trademark for “PURE EP” was registered on January 26, 2016.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trademark for the standard mark, “BIOSIG” was registered March 19,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trademark for “SEE MORE, CLEARLY” was registered on April 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trademark for “WCT+” was registered on February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we received EU certificates of registration for the following trademarks: “ACCUVIZ”, “WCT+”, and “COMBIO”.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we received UK certificates of registration for the following trademarks: “SMARTFINDER”, “ACCUVIZ”, “WCT+”, and “COMBIO”.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pending U.S. trademark application for “GLDY,” which has received a Notice of Allowance from the United States Patent and Trademark Office and is used in connection with our digital asset and tokenization platform. Registration of this mark is subject to the filing and acceptance of a Statement of Use.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Digital Asset Infrastructure and Real-World Asset Tokenization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operates a technology and infrastructure platform intended to support the tokenization, issuance, custody integration, and lifecycle management of real-world asset (“RWA”) financial products, including commodity-linked digital instruments. As a result, Streamex is subject to an evolving and complex regulatory framework that spans securities, commodities, financial services, anti-money laundering, sanctions, data privacy, and consumer protection laws in the United States and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Federal and State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product structure, participant roles, and transactional features, Streamex’s activities may be subject to regulation by,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U.S. Securities and Exchange Commission (SEC)</w:t>
            </w:r>
            <w:r>
              <w:rPr>
                <w:rFonts w:ascii="Times New Roman;Times;Serif" w:hAnsi="Times New Roman;Times;Serif"/>
                <w:b w:val="false"/>
                <w:i w:val="false"/>
                <w:caps w:val="false"/>
                <w:smallCaps w:val="false"/>
                <w:sz w:val="20"/>
              </w:rPr>
              <w:t xml:space="preserve"> under the Securities Act of 1933 and the Securities Exchange Act of 1934, as amended (the “Exchange Act”), including regulations applicable to the offer, sale, and secondary trading of securities, broker-dealer activities, alternative trading systems, transfer agents, and investment advisers;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Commodity Futures Trading Commission (CFTC)</w:t>
            </w:r>
            <w:r>
              <w:rPr>
                <w:rFonts w:ascii="Times New Roman;Times;Serif" w:hAnsi="Times New Roman;Times;Serif"/>
                <w:b w:val="false"/>
                <w:i w:val="false"/>
                <w:caps w:val="false"/>
                <w:smallCaps w:val="false"/>
                <w:sz w:val="20"/>
              </w:rPr>
              <w:t xml:space="preserve"> with respect to commodities, derivatives, swaps, and certain digital asset products or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Financial Crimes Enforcement Network (FinCEN)</w:t>
            </w:r>
            <w:r>
              <w:rPr>
                <w:rFonts w:ascii="Times New Roman;Times;Serif" w:hAnsi="Times New Roman;Times;Serif"/>
                <w:b w:val="false"/>
                <w:i w:val="false"/>
                <w:caps w:val="false"/>
                <w:smallCaps w:val="false"/>
                <w:sz w:val="20"/>
              </w:rPr>
              <w:t xml:space="preserve"> under the Bank Secrecy Act (“BSA”) and related anti-money laundering (“AML”) and know-your-customer (“KYC”) requirements applicable to money services businesses and other covered entities;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Office of Foreign Assets Control (OFAC)</w:t>
            </w:r>
            <w:r>
              <w:rPr>
                <w:rFonts w:ascii="Times New Roman;Times;Serif" w:hAnsi="Times New Roman;Times;Serif"/>
                <w:b w:val="false"/>
                <w:i w:val="false"/>
                <w:caps w:val="false"/>
                <w:smallCaps w:val="false"/>
                <w:sz w:val="20"/>
              </w:rPr>
              <w:t xml:space="preserve"> with respect to U.S. economic sanctions programs and restrictions on transactions involving sanctioned jurisdictions, entities, or individuals;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financial regulators</w:t>
            </w:r>
            <w:r>
              <w:rPr>
                <w:rFonts w:ascii="Times New Roman;Times;Serif" w:hAnsi="Times New Roman;Times;Serif"/>
                <w:b w:val="false"/>
                <w:i w:val="false"/>
                <w:caps w:val="false"/>
                <w:smallCaps w:val="false"/>
                <w:sz w:val="20"/>
              </w:rPr>
              <w:t>, including state securities regulators and state money transmission authorities, which may impose licensing, registration, bonding, net worth, reporting, and examination requirements depending on the nature of activities conducted.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classifications applicable to digital assets and tokenized financial instruments remain subject to interpretation and change, and regulatory authorities may adopt new rules, guidance, or enforcement positions that impact Streamex’s business model, product design, operating costs, or ability to conduct certain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and Commodity Law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tokenized assets supported by the Streamex platform may be deemed “securities” under federal or state securities laws, or “commodities” under the Commodity Exchange Act, depending on their structure, rights, economic characteristics, and manner of distribution. As a result, such products may be subject to registration requirements or exemptions, transfer restrictions, disclosure obligations, resale limitations, and ongoing reporting or compliance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regulatory authorities will agree with Streamex’s characterization of any particular digital asset or transaction, and adverse regulatory determinations could require changes to product structure, limitations on distribution, suspension of offerings, or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AML, KYC, and Financial Crime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is subject to AML, KYC, and counter-terrorist financing requirements under U.S. and international laws and regulations. These requirements include customer identification, transaction monitoring, recordkeeping, suspicious activity reporting, and sanctions screening. Compliance with these obligations may increase operating costs and requires ongoing investment in compliance systems, controls, and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AML, sanctions, or financial crime regulations could result in significant civil or criminal penalties, reputational harm, and restrictions on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Privacy, Cybersecurity, and Technology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operations involve the collection, processing, storage, and transmission of sensitive customer, transactional, and financial data. As a result, Streamex is subject to data protection, privacy, and cybersecurity laws and regulations, including U.S. federal and state privacy laws and, where applicable, foreign data protection regimes such as the European Union’s General Data Protection Regulation (“GDPR”).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incidents, data breaches, or failures of information systems could result in regulatory investigations, enforcement actions, civil liability,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International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intends to operate and support transactions involving participants, assets, or custodians located outside the United States. International activities may subject Streamex to foreign securities, commodities, payments, AML, sanctions, and data protection laws, which vary significantly by jurisdiction and may impose additional licensing, registration, or compliance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requirements in non-U.S. jurisdictions may be inconsistent or conflict with U.S. regulations, increasing compliance complexity and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applicable to digital assets, tokenization platforms, and blockchain-based financial infrastructure continues to evolve rapidly. Legislative, regulatory, or enforcement developments could materially and adversely affect Streamex’s business, operating results, or strategic plans. Compliance with existing and future regulations may require substantial resources and could limit the development, launch, or scalability of certain products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Medical Device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legacy PURE EP™ Platform received FDA 510(k) clearance on August 8, 2018. The medical device business remains subject to FDA regulations governing product design and development, testing, manufacturing, labeling and packaging, advertising and promotion, and product sales, distribution, and servicing. Medical devices are also subject to Quality System Regulation (QSR), establishment registration, medical device listing, labeling regulations, and medical device reporting regulations. The Company is evaluating strategic alternatives for the legacy medical device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6 full-time employees. Additionally, we use 4 consultants as needed to perform various specialized services. None of our employees are represented under a collective bargaining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incorporated in Nevada in February 2009 and, in April 2011, we merged with our wholly owned subsidiary, BioSig Technologies, Inc., a Delaware corporation, with the Delaware corporation continuing as the surviving entity. On September 12, 2025, we changed our name to Streamex Corp. Our principal executive offices are located at 2431 Aloma Avenue Suite 243, Winter Park, Florida 32792, and our telephone number is +1-203-409-5444. Our website addresses are www.streamex.com and https://ir.streamex.com. Information contained on or accessible through our website is not a part of this Annual Report on Form 10-K, and the inclusion of our website address in this Annual Report on Form 10-K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electronically with the U.S. Securities and Exchange Commission (the “SEC”) our annual reports on Form 10-K, quarterly reports on Form 10-Q, current reports on Form 8-K, proxy statements and other information. Our SEC filings are available to the public over the Internet at the SEC’s website at http://www.sec.gov. We make available on our website, under “Investors,” free of charge, copies of these reports as soon as reasonably practicable after filing or furnishing these reports with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 w:name="a_003"/>
      <w:bookmarkEnd w:id="36"/>
      <w:r>
        <w:rPr>
          <w:rFonts w:ascii="Times New Roman;Times;Serif" w:hAnsi="Times New Roman;Times;Serif"/>
          <w:b/>
          <w:i w:val="false"/>
          <w:caps w:val="false"/>
          <w:smallCaps w:val="false"/>
          <w:sz w:val="20"/>
        </w:rPr>
        <w:t>ITEM 1A</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are numerous and varied risks, known and unknown, that may prevent us from achieving our goals. You should carefully consider the risks described below and the other information included in this Annual Report on Form 10-K, including the consolidated financial statements and related notes. If any of the following risks, or any other risks not described below, actually occur, it is likely that our business, financial condition, and/or operating results could be materially adversely affected. The risks and uncertainties described below include forward-looking statements and our actual results may differ from those discussed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Below is a summary of the principal factors that make an investment in our common stock speculative or risky. This summary does not address all of the risks that we face. Additional discussion of risks summarized in this risk factor summary, and other risks that we face, can be found below under the heading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 should be carefully considered, together with other information in this Annual Report on Form 10-K and our other filings with the SEC before making investment decisions regarding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asset infrastructure and real-world asset tokenization business is new and unproven, and we may not successfully commercialize tokenized products or achieve market adoption.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digital assets and tokenized products is evolving and uncertain; our products and platform may be subject to securities, commodities, broker-dealer/ATS, money transmission, AML/KYC, sanctions, and other regulatory requirements that could restrict our operations, delay launches, or increase costs.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tokenized gold strategy exposes us to risks related to gold custody frameworks, reserve verification, liquidity, and (if applicable) redemption functionality, including risks relating to unallocated custody, the absence of linkage of tokens to specific bullion bars, and the absence of live proof-of-reserves or independent audit processes.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Tokenholders do not benefit from FDIC or SIPC protections, and may face delays, partial recovery, or total loss in the event of SPV insolvency or service provider failure.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SPV does not pay cash distributions; yield is paid as additional Tokens (scrip dividends), which limits liquidity for investors who may not be able to easily convert their investment to cash.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SPV’s gold may be commingled with gold from other lessors in Monetary Metals’ leasing program, and other lessors may receive more favorable terms or priority in enforcement scenarios.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our gold-linked strategy and our financial results could be adversely affected by volatility in gold prices, including potential impairment of gold holdings or reduced demand for gold-linked token structures.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prior issuance of convertible debentures and related embedded derivative accounting created the potential for significant dilution and volatility in reported results, and similar financing in the future could have similar effects.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cybersecurity and data privacy risks (including risks related to third-party vendors and cloud platforms), which could result in service disruptions, loss or theft of digital assets or data, regulatory scrutiny, liability, and reputational harm.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reverted to a development stage company, we expect to incur operating losses.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finance our future cash needs through public or private equity offerings, debt financings or corporate collaboration and licensing arrangements. Any additional funds that we obtain may not be on terms favorable to us or our stockholders and may require us to relinquish valuable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effectively manage changes in our business, these changes could place a significant strain on our management and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business plan may not produce the intended growth in revenue and operating income.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limited sales, marketing or distribution operations and will need to expand our expertise in these areas.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development program depends upon third-party researchers, including Mayo, who are outside our control and whose negative performance could materially hinder or delay our pre-clinical testing or clinical trials.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risks associated with future litigation and claims.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there were material weaknesses in its internal control over financial reporting, which, if not remediated, could materially adversely affect its ability to timely and accurately report its results of operations and financial condition. The accuracy of the Company’s financial reporting depends on the effectiveness of its internal controls over financial reporting.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obtain protection for our intellectual property rights, our competitors may be able to take advantage of our research and development efforts to develop competing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infringe upon the rights of third parties, we could be prevented from selling products and forced to pay damages and defend against litigation.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license agreements with Mayo Clinic related to our legacy medical device business, and failure to comply with such agreements could result in loss of intellectual property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our obligations under our license agreements, we could lose the rights to intellectual property that is important to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damages resulting from claims that we or our employees have wrongfully used or disclosed alleged trade secrets of their former employers.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protection depends on compliance with various procedures and other requirements, and our patent protection could be reduced or eliminated in case of non-compliance with these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may fluctuate significantly, which could result in substantial losses by our investors.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shares of common stock are now listed on the Nasdaq Capital Market, we currently have a limited trading volume, which results in higher price volatility for, and reduced liquidity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continued listing requirements of Nasdaq could result in a delisting of our common stock, which could negatively impact the market price and liquidity of our common stock and our ability to access the capital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common stock in the public market or other financings could cause our stock price to fall.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sell additional equity or debt securities to fund our operations, it may impose restrictions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reverted to a development stage company, we expect to incur operating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company with respect to our principal business, the Streamex digital asset infrastructure and real-world asset tokenization platform. We have not generated material revenue from the Streamex platform and expect to incur substantial additional operating expenses over the next several years as we develop and launch our tokenized gold product (GLDY), other future tokenized asset offerings, and related infrastructure, invest in technology development and compliance capabilities, and build strategic partnerships in the digital asset and commodity finance markets.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our future losses and when, if ever, we will achieve profitability are uncertain. Our ability to generate revenue and achieve profitability will depend on, among other things: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the Streamex platform’s technical development, including smart contract deployment, custody integration, and compliance infrastructure;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or maintaining any necessary regulatory approvals, licenses, or exemptions from the SEC, CFTC, FinCEN, state regulators, or other authorities;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partnerships with third-party custodians, bullion providers, and financial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market acceptance for our tokenized gold product (GLDY) and any future tokenized asset offerings;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liquid secondary markets for our tokens;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sufficient funds to finance our development and commercialization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might not succeed at any of these undertakings. If we are unsuccessful at some or all of these undertakings, our business, prospects, and results of operations may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retains a legacy medical device business focused on the PURE EP™ Platform, which is not a strategic priority and is being evaluated for strategic alternatives. Revenues from this legacy business have not been material, and no assurance can be given that the Company will realize any value from the disposition or continued operation of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asset and tokenization business is new and unproven, subjecting us to numerous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ongoing primary focus will be scaling the Streamex Platform for the tokenization of real-world assets. The development and commercialization of digital tokens backed by physical assets involves significant technical, regulatory, and market uncertainties. The regulatory environment for digital assets and token offerings is rapidly evolving; changes in laws or regulations (or the interpretation of existing laws, including securities, commodities, and money transmission regulations) could impose costly compliance obligations, restrict our business model, or make our any token offering infeasible. Additionally, market acceptance of asset-backed digital tokens (such as GLDY) remains subject to ongoing validation. If we are unable to maintain regulatory compliance, attract users, and establish a liquid market for our tokens, our digital asset initiative may not generate the anticipated benefits, and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tokenized gold products and platform may be subject to extensive and evolving regulation, and we may be required to obtain licenses or registrations (including broker-dealer or alternative trading system regulation) that could delay or prevent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tokens representing contractual interests in gold or other RWAs may be treated as “securities” and/or “commodities” depending on their structure, the rights conveyed, and how they are offered and traded. As a result, we may be required to rely on offering exemptions, implement transfer restrictions and resale limitations, and ensure that any secondary trading occurs through appropriately regulated venues. In addition, as we expand investor onboarding and platform functionality across jurisdictions, we may face overlapping and potentially conflicting requirements applicable to broker-dealers, alternative trading systems (“ATS”), custodial service providers, and other regulated financial activities. Regulatory scrutiny, new legislation, changing interpretations, or enforcement actions could require changes to our products or platform, limit our ability to operate in certain markets, increase compliance costs, or cause us to suspend or discontinue planned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tokenization strategy depends on third-party custody, reserve verification, and related operational controls that may not be fully implemented or may not operate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current and planned tokenized products rely on establishing third-party custody arrangements for underlying assets and the implementation of controls to manage credit risk, reserve verification, auditability, and related controls. With respect to GLDY, gold may be held on an unallocated basis, and there may be no current mechanism to link GLDY balances to physical gold held as individual bullion bars. As a result of these operational hurdles, physical redemption for underlying assets may only be available under certain conditions, We have not yet fully implemented a live proof-of-reserves dashboard or public confirmation of 1:1 gold backing for tokens, and we are in the process of implementing an independent audit process for bullion holdings on a defined timeline. If custody infrastructure, verification processes, or operational safeguards are delayed, incomplete, or fail (including smart-contract or operational safeguards designed to prevent issuance of tokens in excess of gold held), investor confidence, market adoption, and regulatory posture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tokens are not listed on an exchange and we do not engage market makers or establish liquid trading venues, tokenholders may face significant liquidity and pricing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investors and support token utility may depend on the availability of liquid secondary markets. Tokens are not currently listed on any exchange, and no market makers are engaged to provide liquidity or price stability. In addition, the transferability, lock-up restrictions, and resale mechanics applicable to tokenized products may be limited or may evolve over time. Limited liquidity could result in wide bid-ask spreads, price volatility, and difficulty exiting positions, which may reduce investor demand and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operational and governance risks because we may retain centralized control over token smart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retain centralized control over token smart contracts, including upgrade authority. If governance controls, access controls, or change-management processes fail, or if smart contract upgrades are executed improperly, such events could cause operational disruption, unintended token behavior, losses to users, or regulatory scrutiny. These risks could adversely affect trust in our platform and the perceived integrity of our token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Tokenholders may not have perfected rights to underlying gold and may be treated as unsecured creditors in an insolvency scenario.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product structure, tokenholders may not have direct legal title to specific bullion bars or a perfected security interest in underlying assets. In an insolvency, recovery of value may depend on third-party custodian arrangements and could subject tokenholders to delays or losses, including the possibility that tokenholders rank as unsecured creditors. Any such outcomes could adversely affect token adoption and our ability to commercialize tokenized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may be adversely affected by fluctuations in the price of gold, other precious metals, and the volatility inherent in digital asset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deployed and continue to develop the Streamex Platform, a blockchain-based platform for the tokenization of real-world assets (“RWA”). The Streamex Platform has an initial focus on the issuance and administration of GLDY, a gold-backed tokenized security that seeks to provide holders exposure to the spot price of gold. The value proposition of GLDY—and the underlying demand for GLDY from prospective investors—is inherently linked to prevailing and expected future prices of gold.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seek to operate as a technology platform and facilitator—earning revenue through token issuance, platform usage, and transaction fees—our exposure to the issuance of GLDY introduces indirect but material risk. If the price of gold declines materially or becomes more volatile, demand for GLDY or gold-backed RWA more generally may decrease, impairing our ability to successfully issue new GLDY, develop future tokenized products, or generate secondary market activity. In addition, lower gold prices may increase counterparty risk among our gold leasing counterparties, potentially leading to defaults or contractual disputes that could harm our reputation and operations. Moreover, Streamex’s tokens are structured as digital assets and are subject to broader volatility and uncertainty inherent in the digital asset and blockchain ecosystem. This includes risks related to token pricing, investor adoption, smart contract execution, liquidity, regulatory scrutiny, cyber threats, and custodial integrity. The performance of our gold tokenization strategy may be further affected by sentiment across the broader digital asset market, regardless of the performance of gold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Streamex scales its balance sheet and operational footprint in support of its gold strategy, our consolidated financial results may increasingly reflect the performance of this line of business. Accordingly, any sustained disruption in the gold market or deterioration in investor confidence in digital asset–linked products could materially and adversely affect our financial condition, operating results, and the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gold-linked tokenization and treasury strategy may expose us to complex liquidity risks across both traditional and digital asset markets, which could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administration of GLDY requires the Company to deploy a capital strategy that ultimately involves the acquisition of physical gold by the GLDY SPV, which is held in custody with professional custodians and deployed into a leasing program administered by Monetary Metals under the MM Agreement. This model seeks to maintain a long gold position and generate yield for holders of GLDY through gold leasing activities. However, this approach introduces liquidity management challenges that may ultimately impact the financial performance of the Company, as the ability of the Streamex Platform to generate fee revenues for the Company is dependent upon the successful issuance and administration of GLDY and other tokenized RWA products that may be offered on the Streamex Platform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gold market, while historically liquid, can be subject to temporary dislocations caused by geopolitical events, macroeconomic shocks, or supply chain disruptions. Similarly, emerging token markets—particularly those involving newly issued or bespoke digital assets—often exhibit reduced trading volumes, fragmented order books, and dependence on limited market makers or exchange infrastructure. These structural limitations may prevent timely exits or settlements, or may result in price slippage, widening spreads, or delayed conversions between tokenized assets and fiat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gold deployed into leases may not be immediately available for redemption or liquidation. If investor demand softens, market infrastructure fails to scale, or lessees default on their lease obligations, we may face constraints on accessing or redeploying gold-linked assets, reducing liquidity, delaying revenue recognition, and potentially impairing balance sheet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liquidity risks, across both traditional bullion markets and tokenized asset venues, may limit our ability to execute our gold strategy effectively. If we are unable to timely deploy or rotate capital, or if our token products fail to achieve meaningful market traction, our financial results, cash flows, and overall operating performance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operate in the highly competitive gold market, and established market participants with greater resources, regulatory positioning, or brand recognition may outperform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operates within the global gold market, a highly competitive industry dominated by well-established financial institutions, bullion banks, ETF sponsors, precious metals dealers, and newer entrants offering gold-backed digital assets. Many of these participants possess significantly greater financial resources, broader market access, deeper liquidity, established regulatory frameworks, and longstanding relationships with institutional investors and gold leasing counterparties.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emerging competition from blockchain-native platforms offering gold-linked tokens or decentralized finance (DeFi) products that may offer alternative value propositions or pricing advantages. Some of our competitors may already have established physical custody infrastructure, tokenized offerings, or secondary markets in place. In addition, we face competition from traditional gold investment products such as exchange-traded funds (ETFs), futures contracts, and bullion dealers, which are already widely accepted by retail and institutional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differentiate our platform, build user trust, secure high-quality counterparties, or scale liquidity in our tokenized offerings, we may not be able to compete effectively. Any failure to compete successfully could adversely affect our ability to grow our market share, attract capital to our platform, or generate sustainable revenue, which would have a material and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Evolving regulatory requirements for gold trading and cross-border transactions may increase our compliance costs and could restrict or delay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tokenization business model, including the infrastructure supporting the issuance and administration of GLDY, spans multiple regulated domains, including securities issuance, commodity-related activities, and digital asset markets, each of which is subject to evolving and potentially conflicting regulatory frameworks across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issuance and leasing activities underlying GLDY involve cross-border elements, which subject the Company to a range of regulatory regimes. These include anti-money laundering (“AML”) and know-your-customer (“KYC”) requirements, securities registration and exemptions, custody and safekeeping standards, and gold traceability obligations, all of which may become more stringent as regulators focus on precious metals and digital asset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tokenized representations of gold delivery rights are likely to be classified as securities in many jurisdictions, including Canada and the United States, subjecting our platform to securities registration requirements, prospectus exemptions, and potential enforcement action if deemed non-compliant. As we onboard investors, counterparties, and exchanges in different countries, we must assess and adhere to multiple legal frameworks, including those applicable to broker-dealers, alternative trading systems (“ATS”) operators, stablecoin providers, and custodial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tokenized commodities and cross-border digital assets remains fluid. New legislation or guidance from regulators such as the SEC, FINTRAC, FCA, MAS, or IOSCO could impose additional disclosure, reporting, registration, or licensing requirements on our business, including on our smart contracts, custody relationships, or token design. Meeting these evolving obligations may result in significant compliance costs, delays in product rollout, or restructuring of token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anticipate or comply with applicable laws and regulations could limit our ability to offer products in certain jurisdictions, subject us to enforcement actions or fines, or require us to unwind existing transactions. Any such regulatory developments could materially and adversely affect our business, platform scalability,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ability to execute our business plan depends on the successful development, deployment, and commercialization of blockchain-based enterprise solutions for tokenized commodities, on-chain commodity markets, and treasury management, which may not materialize as expected.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business model relies on the development and successful commercialization of blockchain-enabled infrastructure that supports the tokenization of real-world assets—beginning with gold—and the creation of on-chain commodity trading systems and treasury management strategies. Our ability to generate revenue and scale operations depends on the timely and functional integration of multiple technical, legal, and market-facing components, including:</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85"/>
        <w:gridCol w:w="476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contracts capable of enforcing gold delivery claims;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85"/>
        <w:gridCol w:w="659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Regulatory-compliant token issuance and transfer mechanics;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6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Scalable custody and proof-of-reserves solutions;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6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compliant trading platform with liquidity support;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6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Institutional-grade treasury infrastructure for token settlement and redeployment.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Streamex Platform is currently administering the issuance and trading of GLDY, the systems supporting tokenized commodity flows and digital secondary market infrastructure continue to evolve, and there can be no assurance that our technology will continue to function as intended, meet security or audit standards, or achieve broader market acceptance. Bugs, third-party integration failures, or regulatory developments may materially impair our ability to scale operations or meet investor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widespread commercial acceptance of tokenized commodity assets particularly those not offering direct legal title to physical bullion is uncertain and may depend on user familiarity, platform trust, macroeconomic conditions, and evolving regulatory support. Even if we successfully deploy our core infrastructure, user adoption may lag or institutional counterparties may hesitate to participate in a new digital settlement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design, launch, or scale our blockchain enterprise solutions or if these solutions fail to gain sufficient traction among gold leasing participants, custodians, market makers, or institutional investors our ability to execute our strategic plan and generate sustainable revenue may be material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laws and regulations, including increased regulation of blockchain technologies and digital assets, may adversely affect our business, product development, and compliance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and regulatory environment applicable to blockchain-based platforms, digital asset issuance, and tokenized financial products is rapidly evolving. Streamex’s business involves the creation and distribution of tokenized claims on physical commodities through blockchain infrastructure. This structure intersects with regulatory regimes governing securities, commodities, financial services, payments, data privacy, and cross-border transactions. Any material change in applicable laws, regulatory guidance, or enforcement priorities could adversely affect our operations, increase compliance burdens, or require us to modify, delay, or cancel certain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governments and regulatory agencies globally—including the SEC, the Commodity Futures Trading Commission (CFTC), the Canadian Securities Administrators, and other international bodies—have signaled increased scrutiny over blockchain-based activities. Areas of focus include the classification of digital tokens as securities, the registration of platforms as broker-dealers or ATS, custody and safekeeping standards, and AML compliance. Heightened regulation could also affect how smart contracts are governed, how token transfers are tracked, and how compliance responsibilities are allocated among issuers, custodians, and technology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 could impose new licensing or registration requirements, require changes to our token architecture, restrict our ability to engage in cross-border token sales, or subject our personnel or counterparties to additional oversight. In addition, regulatory developments may outpace technological adaptation, resulting in uncertainty or fragmentation that inhibits innovation or market adoption.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new or modified regulatory regimes could require significant legal, operational, and technical resources. Failure to comply—or perceived non-compliance—with applicable regulatory requirements may result in fines, enforcement actions, product delays, reputational harm, or even the inability to operate in certain jurisdictions. Any such developments could materially and adversely affect our business, prospects,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 may fail to achieve market adoption or effectively address key inefficiencies in the traditional gold and commodities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business model is predicated on the belief that blockchain-based tokenization can address long-standing inefficiencies in the gold and broader commodities markets—such as limited access to yield-bearing gold products, lack of real-time settlement infrastructure, illiquidity of gold leasing arrangements, and restricted investor access.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is no assurance that our platform will gain traction among institutional investors, gold leasing participants, traders, or other key market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participants in the traditional gold market operate within established commercial relationships, regulatory frameworks, and settlement processes that may be resistant to change or skeptical of blockchain-based alternatives. Institutional investors may be slow to embrace tokenized interests in a gold leasing vehicle, particularly those that do not confer direct legal title to physical bullion. Similarly, traditional gold market participants may prefer established financing models, and existing exchanges may be unwilling to support tokens issued through non-traditional mechanisms.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technology performs as intended, our platform may fail to differentiate itself meaningfully from other gold-backed token offerings or digital asset infrastructure providers, several of whom already have established user bases, liquidity, and regulatory licenses. Without sustained user engagement and ecosystem development, Streamex may struggle to reach commercial scale or justify its infrastructure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demonstrate compelling advantages over traditional commodity market solutions—or if potential users are unwilling to change entrenched behaviors—our platform may not achieve meaningful adoption, which would materially and adversely affect our business prospects, financial performance, and growth trajectory.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gold-focused tokenization strategy will subject us to enhanced regulatory oversight across securities, commodities, and precious metals regimes, which may increase our compliance burdens and limit operational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infrastructure underlying the issuance and administration of GLDY combines elements of traditional commodity holding with gold leasing and blockchain-based digital asset issuance—triggering overlapping regulatory frameworks that are subject to heightened scrutiny from global regulators.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gold markets are subject to extensive regulation related to sourcing, trading, custody, and leasing. Regulatory bodies such as the London Bullion Market Association (“LBMA”), the Financial Transactions and Reports Analysis Centre of Canada (FINTRAC), the U.S. Department of the Treasury, and various central banks impose rules around gold purity standards, provenance, AML, and sanctions compliance. Our partnerships with bullion custodians, reliance on gold leasing arrangements through Monetary Metals, and participation in global trade flows may trigger reporting, licensing, and inspection obligations under these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the tokenization of gold-linked instruments is expected to be treated as the issuance of securities in most jurisdictions, subjecting Streamex to securities laws, including prospectus exemptions, resale restrictions, investor suitability rules, and ongoing disclosure obligations. In the U.S., Canada, and elsewhere, regulators have signaled increased oversight of digital asset instruments, especially those that function as investment contracts or derivative-like 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of our gold strategy—which spans physical commodities, token issuance, and decentralized infrastructure—we anticipate enhanced regulatory oversight from multiple authorities across jurisdictions. This may include periodic audits, product-level reviews, cross-border compliance restrictions, and the potential need for broker-dealer, ATS, or commodity pool operator registrations. In some cases, new or revised rules could require us to alter token design, restrict certain investor types, or suspend offerings in affected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layered regulatory obligations will require significant legal, technical, and financial resources. Failure to meet applicable standards—or regulatory determinations that contradict our structural assumptions—could result in enforcement actions, civil or criminal penalties, loss of licensure, reputational harm, or business disruption. As a result, our gold strategy may expose us to enhanced compliance risks and may materially and adversely affect our ability to operate, scale, or compete effectively.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Discrepancies between token volume entitlements and actual gold holdings may lead to valuation uncertainty, settlement delays,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SPV’s gold leasing activities are conducted through a “back-to-back” structure pursuant to agreements with Monetary Metals, whereby the SPV leases gold to a designated series of a Delaware series limited liability company managed by Monetary Metals, which then may commingle the SPV’s gold with gold from other participants and lease it to the ultimate lessee. Accordingly, the Company relies heavily on the performance of its service providers and lease counterparties in ensuring efficient administration of GLDY.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context of other tokenized digital assets, settlement risk is exacerbated when settlement finality on-chain does not align with actual asset delivery off-chain. According to the Bank for International Settlements, token arrangements can introduce mismatches between token issuance, asset availability, and transfer finality—raising risk around incomplete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Streamex cannot deliver the full gold volumes represented by its tokens—or if deliveries are delayed—tokenholders may experience difficulty redeeming tokens, confront valuation discrepancies, and lose confidence in the platform. Such issues could erode secondary market liquidity, prompt margin or reserve adjustments, and trigger reputational or regulatory scrutiny. Ultimately, these challenges could materially impair our business model, financial condition, and long-term growth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concentration of our holdings and strategy in gold may amplify the risks inherent in our business model and expose us to adverse market and operational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intended tokenization and treasury strategy may be heavily concentrated in gold. A substantial portion of our revenue model and balance sheet exposure is tied to the successful administration of GLDY and the gold leasing arrangements underlying the GLDY product. While gold is traditionally viewed as a stable store of value, such concentration will enhance our exposure to a single asset class and a narrow set of market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markets are subject to a range of external forces including macroeconomic policy shifts, inflation expectations, interest rate volatility, geopolitical instability, and currency fluctuations. Any adverse developments in these areas—such as sustained declines in gold prices, weakening institutional demand, or tightening of physical delivery infrastructure—could materially impact the perceived value of our tokenized products and reduce investor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reliance on a limited number of gold leasing counterparties and custodial partners to secure, hold, and safeguard the underlying gold creates additional counterparty and operational concentration risks. Any lessee defaults, disputes over lease terms, custodial limitations, or insurance shortfalls could have disproportionate effects on our token programs and financial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diversified financial institutions or asset managers, Streamex has not yet expanded into other commodities or asset classes, which limits our ability to hedge or offset commodity-specific shocks. Until we achieve broader asset diversification or launch a multi-asset tokenization strategy, our strategic focus on gold will continue to heighten our vulnerability to gold-specific pricing, supply, and market confidence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concentration may impair our liquidity, restrict capital rotation, increase volatility in our platform, and reduce investor confidence, all of which could materially and adversely affect our business, financial results, and long-term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gold holdings will be significantly less liquid than cash and cash equivalents and may not serve as a reliable source of liquidity in times of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asset-backed token issuance model, Streamex anticipates holding a portion of its assets in physical gold—whether directly or through special purpose vehicles, with gold held in custody with professional custodians and potentially deployed into gold leases through Monetary Metals. While gold is widely regarded as a store of value, it lacks the immediate liquidity and transactional flexibility of cash or cash equivalents, particularly in a corporate treasury context.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cash, which can be deployed immediately to satisfy operational expenses, service debt, or meet regulatory obligations, gold holdings may require conversion through third-party custodians, sales in potentially illiquid or volatile markets, or settlement of contractual obligations over extended periods. Additionally, when gold is deployed into leases or held as token reserves, we may face legal or practical constraints on its conversion or redeployment, particularly during times of market stress or when platform users seek redemption or exit en masse.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encounters liquidity needs that exceed the available cash on hand, the reliance on gold or tokenized gold reserves may limit our ability to respond rapidly. This could impair our capacity to meet obligations, delay strategic execution, or require unfavorable asset liquidations. These risks may be further exacerbated in periods of gold market disruption, reduced token liquidity, or custodial access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presence of gold holdings on our balance sheet should not be viewed as equivalent to cash or near-cash instruments. Our reliance on less liquid assets may materially and adversely affect our financial flexibility and resilience in periods of operational or market stress.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could materially and adversely affect the value, utility, and credibility of our token offerings, and may impair our ability to scale operations or attract institutional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Geopolitical instability, including conflict in the Middle East, could adversely affect gold markets, custody arrangements, cross-border settlement, and demand for our tokenized commodity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exposed to macroeconomic and geopolitical conditions that affect the global precious metals markets, the digital asset ecosystem, and cross-border financial activity. Escalation of armed conflicts, political instability, terrorism, trade restrictions, sanctions programs, shipping disruptions, or broader unrest in the Middle East or other regions could result in increased volatility in gold prices, higher insurance and transportation costs, disruption to bullion supply chains, delays in settlement, reduced market liquidity, or heightened counterparty risk. Public company filings in adjacent sectors, including precious metals and commodity-related issuers, commonly recognize that instability in the Middle East can materially affect commodity prices, trading conditions, logistics, and financial performance. With respect to GLDY specifically, a number of leases that MM has arranged for the SPV are concentrated in the Middle East; therefore, to the extent broader unrest in the Middle East continues, such disruptions may impair the performance of underlying leases and the ability of GLDY to generate yield, which could have a material and adverse effect on our business and growth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Streamex platform supports gold-linked digital products that depend on bullion custody, compliance processes, investor confidence, and the orderly functioning of financial and commodity markets, geopolitical instability may have a disproportionate effect on our business model. Even if we do not maintain direct operations in a conflict zone, geopolitical developments may adversely affect the availability or cost of custody, vaulting, insurance, reserve verification, banking access, fiat settlement, blockchain infrastructure usage, onboarding of institutional participants, or the willingness of investors and counterparties to transact in tokenized commodity products. These developments could also result in abrupt changes in regulatory expectations or market sentiment toward gold-linked or cross-border digital financial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periods of heightened geopolitical stress may produce unusual movements in gold prices or disconnects between spot, forward, and financing markets. Such conditions could impair the economics of our offerings, increase hedging or operational costs, reduce investor demand, cause disruptions in expected redemption or settlement mechanics, and adversely affect the perceived reliability of our platform. Any of these events could materially and adversely affect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may be adversely affected by sanctions, export controls, anti-money laundering laws, and heightened regulatory scrutiny relating to Iran and other sanctioned jurisdictions, particularly because our products are linked to physical gold and cross-border financial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involves the development of tokenized gold and other commodity-linked products that depend on bullion sourcing, custody, financing, investor onboarding, and cross-border transfers of value. As a result, we are subject to extensive sanctions, anti-money laundering, know-your-customer, anti-bribery, and related compliance obligations in multiple jurisdictions. Iran-related sanctions administered by the U.S. Department of the Treasury’s Office of Foreign Assets Control (“OFAC”) remain extensive and actively enforced, and OFAC continues to publish Iran-specific guidance and advisories for market participants. OFAC also warns that sanctions evasion can involve the use of physical assets, including gold and other precious metals.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maintain compliance controls designed to prevent dealings involving sanctioned persons, prohibited jurisdictions, or impermissible source-of-gold exposure, there can be no assurance that our controls, or those of our custodians, counterparties, liquidity providers, refiners, brokers, banking partners, or other service providers, will be effective in all circumstances. Gold supply chains and cross-border financial flows can be complex, and counterparties may use intermediaries, transshipment points, omnibus arrangements, digital wallets, structured transactions, or incomplete documentation that make beneficial ownership, source of funds, source of bullion, or sanctions nexus difficult to identify. If bullion, funds, investors, or counterparties associated with our platform are found to have a direct or indirect connection to Iran or other sanctioned persons or jurisdictions, or are alleged to have been involved in sanctions evasion, money laundering, or other illicit activity, we could face investigations, penalties, asset freezes, loss of banking or custody relationships, contractual disputes, reputational harm, or restrictions on our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compliance expectations applicable to LBMA-standard gold, responsible sourcing programs, and institutional onboarding may become more stringent over time, including with respect to conflict-affected sourcing, audit trails, traceability, and due diligence. Failure by us or our third-party providers to satisfy these expectations could impair our ability to support proof-of-reserves or reserve verification processes, attract institutional customers, maintain custody or liquidity relationships, or expand into additional jurisdictions. Any such development could materially and adversely affect the perceived legitimacy, marketability, and commercial viability of our tokenized gold offerings and our broader business and financial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freely transferable nature of tokenized RWA may increase market volatility and limit recourse for tokenholders in the event of disputes or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Streamex Platform is intended to be designed so that tokenized RWA can be freely transferable across jurisdictions and market participants, subject to applicable securities law restrictions. While this transferability is intended to promote liquidity and market participation, it also introduces potential risks that may negatively impact tokenholders and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ability to transfer tokens freely may contribute to increased price volatility, especially during periods of market stress, limited secondary market liquidity, or when macroeconomic conditions affect gold pricing or digital asset sentiment. Without the stabilizing effects of centralized pricing, redemption windows, or regulated exchange mechanisms, token values may diverge significantly from the underlying value of the referenced gold, creating dislocation and confusion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decentralized and pseudonymous nature of blockchain transactions may make it difficult to trace token ownership, enforce contractual rights, or resolve disputes. If a tokenholder experiences a smart contract malfunction, or counterparty breach, the ability to seek legal redress may be limited, particularly where tokens have changed hands multiple times or are held by unidentifiable or offshore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unrestricted nature of transfers may limit Streamex’s ability to monitor or enforce compliance with investor eligibility criteria, sanctions obligations, or secondary trading restrictions, potentially exposing the platform to regulatory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while transferability is a key feature of our token model, it may also amplify volatility, obscure liability, and limit recourse for holders. These dynamics could undermine investor confidence and materially affect the performance and perception of our tokenized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GLDY bear the economic risk of gold price fluctuations and potential non-performance by gold leasing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GLDY is designed to provide tokenholders with economic exposure to gold and a gold-denominated yield through the SPV’s gold leasing activities. As such, tokenholders are likely to be fully exposed to fluctuations in the price of gold, which can be volatile and influenced by a wide range of macroeconomic factors including changes in interest rates, central bank policies, inflation expectations, geopolitical events, currency fluctuations, and broader commodity cycles. A decline in gold prices may significantly reduce the market value of the tokens, regardless of the issuer’s performance or platform functionality.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tokenholders are subject to the credit and operational risk of gold lessees under the SPV’s gold leasing program. If a lessee fails to return leased gold or make required payments-whether due to financial distress, operational failure, fraud, or other events-tokenholders may experience reduced recoveries upon redemption. The SPV relies on Monetary Metals’ diligence, technology, insurance, and risk management practices in sourcing, structuring, and administering gold leases. While leases may include independent insurance coverage, collateral, guarantees, or inspections, these measures vary by lease and may be insufficient to prevent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value of the tokens may also be affected by perceived risks of non-performance, creating additional market volatility even absent an actual default. This may impair token liquidity, reduce investor confidence, and undermine secondary market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in Streamex’s tokens must be prepared to assume all economic consequences associated with the performance of the underlying gold asset and counterparty obligations. These structural risks could materially and adversely affect tokenholder returns, Streamex’s platform adoption, and our long-term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build and scale a community of clients and investor end-users for blockchain-enabled financial services and products is uncertain and depends on successful market adoption, product development, and execution of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growth depends on the successful creation and sustained expansion of an engaged ecosystem of users, including institutional investors, gold leasing participants, custodians, liquidity providers, and individual tokenholders. We aim to position our platform as a digital infrastructure layer for the issuance, trading, and settlement of tokenized real-world assets, beginning with gold. However, there is no assurance that we will succeed in attracting and retaining a critical mass of users necessary to support token liquidity, market activity, and platform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adoption of blockchain-based financial services—particularly in the context of real-world commodity assets—remains nascent and subject to skepticism from both traditional finance and regulatory stakeholders. Many investors and institutions are unfamiliar with or cautious toward tokenized instruments, decentralized smart contracts, or cross-border digital asset frameworks. In addition, competing platforms or legacy products may already command greater trust, scale, or regulatory clarity.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also depends on timely and effective product development. Delays in launching smart contracts, integrating with exchanges, securing custodial relationships, or offering user-friendly interfaces may hinder onboarding or reduce retention. Similarly, failure to provide sufficient liquidity, transparency, or user protections could impair adoption and reduce network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effectively execute our business strategy or develop products that meet the expectations of target users, we may not achieve sufficient traction to support our platform. This could materially limit our revenue potential and long-term viability.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Related to Bullion Custody and Token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Streamex’s bullion custody infrastructure, although established, depends on third-party custodians and service providers, and any failure, interruption, or change in those arrangements could adversely affect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business model is predicated in part on the secure custody, verification and administration of physical gold underlying its tokenized asset offerings. As of the date of this Annual Report on Form 10-K Streamex has established its bullion custody infrastructure and has engaged an LBMA-accredited custodian in support of this framework. However, Streamex’s ability to operate its platform and support tokenized gold products will continue to depend on the performance, reliability and ongoing availability of such custodian and any related vaulting, insurance, logistics, verification and other service providers.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where custodial arrangements have been established, there can be no assurance that such relationships will continue on favorable terms, remain operational without disruption, or satisfy all future business, legal, regulatory, technological or commercial requirements. Streamex may need to modify, supplement or replace aspects of its custody framework from time to time as a result of changes in market conditions, counterparty requirements, applicable law, regulatory expectations, insurance requirements, or the operational needs of the platform. Any such change may result in delays, increased costs, additional diligence and compliance work, redesign of platform processes or smart contract logic, or other operational burdens.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use of third-party custodians and related service providers exposes Streamex to risks that are outside of its direct control, including risks of operational error, insolvency, fraud, cybersecurity incidents, insufficient insurance coverage, asset loss, recordkeeping failures, disputes over title, access interruptions, delays in settlement or transfer, or other service failures. If Streamex’s custody arrangements are disrupted or prove inadequate, Streamex may be unable to issue gold-backed tokens, process redemptions, support reserve verification, or otherwise satisfy obligations to tokenholders and counterparties. Any such event could materially and adversely affect platform adoption, investor confidence, Streamex’s reputation, and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Although Streamex has engaged an LBMA-accredited custodian, it remains subject to risks associated with reliance on that custodian and with maintaining LBMA-standard bullion custody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tokenization model contemplates physical gold being held through a custody framework designed to support bullion integrity, auditability and investor confidence. Streamex has engaged an LBMA-accredited custodian, which it believes strengthens the credibility of its custody arrangements. However, engagement of such a custodian does not eliminate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Streamex will be able to maintain its relationship with its LBMA-accredited custodian on acceptable terms, expand that relationship as its business grows, or replace that custodian with another comparable institution in a timely manner if necessary. In addition, LBMA accreditation does not guarantee uninterrupted service, complete protection against operational failures, asset loss, title defects, fraud, insurance gaps, or regulatory concerns. Streamex may also remain dependent on additional counterparties, including sub-custodians, vault operators, insurers, auditors, logistics providers and other infrastructure participants, any of which could create points of failure or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Streamex’s custody arrangements were to cease meeting institutional expectations, or if its LBMA-accredited custodian were to experience service disruptions, reputational issues, regulatory scrutiny, financial distress, or changes in business practices, Streamex’s ability to support third-party audits, proof-of-reserves attestations, institutional onboarding, or access to liquidity venues could be adversely affected. Any such developments could materially and adversely affect the perceived integrity of Streamex’s tokenized gold offerings, investor confidence, platform adoption, and Streamex’s broader business and financial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 may be held on an unallocated basis, and there is no current mechanism to link tokens to individual bullion bars, which may introduce custody, transparency, and redemption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physical gold underlying GLDY tokens may be held on an unallocated basis by third-party custodians, which means the gold is pooled and not specifically assigned to individual tokenholders or even to Streamex in segregated accounts. Unallocated holdings increase reliance on the creditworthiness and operational soundness of the custodian and may expose tokenholders to higher counterparty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Streamex does not currently offer or contemplate a mechanism to link each token to a specific gold bar with a verifiable serial number, refiner, and assay certificate. While Streamex expects to rely on LBMA “Good Delivery” standards to ensure overall bullion integrity, the absence of a traceability layer means tokenholders cannot verify or redeem against individually earmarked bars. This lack of granularity may reduce transparency and auditability, create potential ambiguity in settlement or redemption scenarios, and undermine confidence in the one-to-one relationship between tokens and underlying gold.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jurisdictions where asset traceability and segregated title are regulatory priorities, these structural limitations may raise compliance concerns or reduce the appeal of Streamex’s offering to institutional participants. Any doubts regarding the adequacy of custody practices or the fidelity of gold backing could adversely impact token valuation, platform credibility, and Streamex’s overall business strategy.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event of loss, theft, or damage to the gold, recovery of value may depend entirely on the custodian’s insurance and operational reliability.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business model involves issuing digital tokens backed by physical gold held in custody with third-party vault providers or deployed in gold leases. In the event of a loss, theft, or physical damage to the bullion, Streamex does not directly insure the gold; rather, it expects that insurance coverage will be arranged by the lessee, MM, or the custodian. As a result, any recovery of value would likely depend entirely on the custodian’s insurance policies, their claims process, and the custodian’s ability and willingness to comply with their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insurance coverage by the custodian will be sufficient to cover all losses, that claims will be paid promptly or in full, or that the terms of coverage will address all types of risks. Moreover, Streamex may have limited ability to enforce or benefit from insurance coverage if Streamex is not named as an insured party or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Streamex is exposed to operational and financial risks related to the custodian itself, including insolvency, internal mismanagement, or cybersecurity incidents. If the custodian fails to safeguard the bullion or fulfill its obligations, tokenholders may face substantial delays in recovery or incur total loss of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events could severely impact Streamex’s credibility, impair the value of its tokens, and lead to reputational, regulatory, and financial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retains centralized control over the token smart contracts, including upgrade authority, which may result in operational or governance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gold-backed tokens operate on public blockchain infrastructure, with smart contracts developed and deployed by Streamex. While decentralization is often viewed as a key attribute of blockchain-based assets, Streamex currently intends to retain centralized control over its token smart contracts, including the authority to modify, upgrade, pause, or terminate contract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such control is intended to ensure security, regulatory compliance, and flexibility to respond to technical issues or market changes, it also introduces operational and governance risks. Errors or misjudgments in implementing upgrades or exercising control rights could result in unintended consequences, token malfunction, or loss of tokenholder value. Centralized control also increases the risk of insider threats or external compromise, particularly if administrative keys or access credentials are not properly secured.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market participants may perceive centralized control as inconsistent with DeFi principles, potentially limiting adoption among investors who prioritize trustless infrastructure. Regulatory authorities may also view such control as indicative of issuer responsibility for the token’s operations and risks, which could heighten Streamex’s compliance obligations under securities, commodities, or consumer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could negatively affect the reliability, security, and market acceptance of Streamex’s tokenized products and may adversely impact Streamex’s reputation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is no live proof-of-reserves dashboard or public confirmation of 1:1 gold backing for tokens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Transparency around collateralization is essential to building trust in asset-backed digital tokens. As of the date of this Annual Report on Form 10-K, Streamex has not launched a real-time or publicly accessible proof-of-reserves dashboard to confirm that issued gold-backed tokens are fully supported by an equivalent volume of vaulted bullion. In the absence of such a mechanism, tokenholders and market participants must rely solely on Streamex’s internal records and representations.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independent, real-time validation may raise concerns among investors, counterparties, and regulators regarding the sufficiency and accuracy of the SPV’s gold reserves. This is particularly relevant in the context of blockchain-based financial products, where decentralized verification and transparency are commonly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implement a robust proof-of-reserves system in a timely manner—or if such a system is perceived as unreliable or insufficiently transparent—could undermine confidence in Streamex’s token issuance practices. This may impair secondary market liquidity, reduce institutional participation, and increase regulatory scrutiny, any of which could materially and adversely affect Streamex’s reputation, token valuation, and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may not prevent issuance of tokens in excess of gold held if smart contract or operational safeguards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foundational element of Streamex’s business model is to be the issuance of gold-backed tokens intended to represent specific, contractually defined quantities of physical gold. This 1:1 linkage between tokens and gold reserves is designed to ensure trust, transparency, and value integrity. However, the effectiveness of this framework depends on both the proper functioning of smart contract logic and sound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underlying smart contracts contain flaws, are misconfigured, or are compromised through a security breach, Streamex may unintentionally issue tokens exceeding its actual gold reserves. Similarly, if internal recordkeeping or reconciliation practices fail—whether due to human error, system malfunction, or inadequate oversight—Streamex could lose track of reserve levels or erroneously authorize new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over-issuance could lead to a mismatch between outstanding token volume and the gold actually held in custody, triggering valuation discrepancies, reputational harm, and potential legal liability. Investors may lose confidence in Streamex’s controls, and regulators may view the incident as a failure to comply with securities, commodities, or consumer protection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prevent or promptly detect issuance errors could materially and adversely affect the price, liquidity, and market acceptance of Streamex’s tokens, and may expose Streamex to enforcement actions, class actions, or contractual claims from impacted tokenholders.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Streamex’s tokenized gold products are expected to be classified as securities exposing Streamex to comprehensive and evolving regulatory obligations across multiple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Supreme Court’s </w:t>
      </w:r>
      <w:r>
        <w:rPr>
          <w:rFonts w:ascii="Times New Roman;Times;Serif" w:hAnsi="Times New Roman;Times;Serif"/>
          <w:b w:val="false"/>
          <w:i/>
          <w:caps w:val="false"/>
          <w:smallCaps w:val="false"/>
          <w:sz w:val="20"/>
        </w:rPr>
        <w:t>Howey</w:t>
      </w:r>
      <w:r>
        <w:rPr>
          <w:rFonts w:ascii="Times New Roman;Times;Serif" w:hAnsi="Times New Roman;Times;Serif"/>
          <w:b w:val="false"/>
          <w:i w:val="false"/>
          <w:caps w:val="false"/>
          <w:smallCaps w:val="false"/>
          <w:sz w:val="20"/>
        </w:rPr>
        <w:t> test and updated SEC guidance, tokens representing interests in a fund that deploys gold into leases or contractual claims on gold deliveries are likely to meet the definition of an “investment contract” and thus be treated as securities under U.S. law. As confirmed in the </w:t>
      </w:r>
      <w:r>
        <w:rPr>
          <w:rFonts w:ascii="Times New Roman;Times;Serif" w:hAnsi="Times New Roman;Times;Serif"/>
          <w:b w:val="false"/>
          <w:i/>
          <w:caps w:val="false"/>
          <w:smallCaps w:val="false"/>
          <w:sz w:val="20"/>
        </w:rPr>
        <w:t>Coinbase Global, Inc.</w:t>
      </w:r>
      <w:r>
        <w:rPr>
          <w:rFonts w:ascii="Times New Roman;Times;Serif" w:hAnsi="Times New Roman;Times;Serif"/>
          <w:b w:val="false"/>
          <w:i w:val="false"/>
          <w:caps w:val="false"/>
          <w:smallCaps w:val="false"/>
          <w:sz w:val="20"/>
        </w:rPr>
        <w:t> S-1 filing, “A particular crypto asset’s status as a ‘security’ … is subject to a high degree of uncertainty”. The SEC has reiterated this position in recent enforcement actions and filings, emphasizing that most tokens involving profit expectations and reliance on centralized efforts—especially those tied to traditional assets like gold—may qualify as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Streamex must ensure compliance with stringent regulatory frameworks, including:</w:t>
      </w:r>
    </w:p>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185"/>
        <w:gridCol w:w="873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exemption of primary token issuances under the Securities Act;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secondary trading platforms—such as broker-dealers, ATS, or national securities exchanges;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disclosures, financial reporting, and audit obligations;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8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AML/KYC, transfer agent, and resale restriction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could expose Streamex to enforcement actions, civil liabilities, and investor rescission demands. Such outcomes are consistent with SEC regulatory posture in </w:t>
      </w:r>
      <w:r>
        <w:rPr>
          <w:rFonts w:ascii="Times New Roman;Times;Serif" w:hAnsi="Times New Roman;Times;Serif"/>
          <w:b w:val="false"/>
          <w:i/>
          <w:caps w:val="false"/>
          <w:smallCaps w:val="false"/>
          <w:sz w:val="20"/>
        </w:rPr>
        <w:t>Coinbase</w:t>
      </w:r>
      <w:r>
        <w:rPr>
          <w:rFonts w:ascii="Times New Roman;Times;Serif" w:hAnsi="Times New Roman;Times;Serif"/>
          <w:b w:val="false"/>
          <w:i w:val="false"/>
          <w:caps w:val="false"/>
          <w:smallCaps w:val="false"/>
          <w:sz w:val="20"/>
        </w:rPr>
        <w:t>, which prompted investigations related to offering alleged unregistered securities tokens, staking programs, and wallet services.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SEC staff recently clarified that tokens associated with centralized issuer control, profit-driven marketing, or token-structure authority (e.g., pausing or burning tokens) are more likely to be deemed securities—even absent official guidance—reinforced by “‘reasonable expectation of profit’ plus ‘issuer influence’”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jurisdictions including Canada, the EU, and Singapore maintain similar classifications for tokenized assets. While Streamex operates under a Canadian Exempt Market Dealer license, any expansion into the U.S. or other foreign markets could trigger additional registrations or exemptive relief obligations—each accompanied by costs, delays, and shifting legal interpretations.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regulatory authorities determine that Streamex’s tokens are unregistered securities—or should new securities rules for tokenized assets be enacted—Streamex could be required to:</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85"/>
        <w:gridCol w:w="510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Halt token sales;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Rework token mechanics to comply with securities regulation;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broker-dealer or exchange registration;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or delist tokens;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investors or unwind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outcomes could significantly restrict token liquidity, delay platform rollouts, burden operations with compliance costs, and limit Streamex’s ability to scale its gold-token and RWA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has not received any no-action relief or regulatory approvals in the United States or other jurisdictions outside Canada, which may subject it to enforcement risk and limit its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on Form 10-K, Streamex has not obtained no-action relief, exemptive orders, or other formal regulatory approvals from the SEC, the CFTC, or any other regulatory authority outside Canada. While Streamex currently operates under an exempt market dealer registration in Canada, any offer, sale, or promotion of tokens in other jurisdictions—including the United States—may be deemed to involve the offering of securities, derivatives, or other regulated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such relief or registrations, Streamex could be subject to enforcement actions, civil penalties, or demands for rescission from investors if regulators determine that its operations violate local securities or commodities laws. In the United States, for example, the SEC has pursued enforcement actions against digital asset platforms and issuers that did not register their offerings or trading venues, or that failed to otherwise comply with applicable securities laws. Similarly, the CFTC has taken the position that certain digital asset transactions may fall within its regulatory remit, including under rules applicable to commodity interests, swaps, and futures.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Streamex were to engage in marketing, issuance, or token transfer activities that are later found to have triggered regulatory obligations outside of Canada, it could face retroactive enforcement, forced platform modifications, investor claims, reputational damage, or operational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Streamex obtains the necessary authorizations, relief, or determinations from relevant regulatory bodies in key markets, its ability to scale, onboard institutional investors, and operate a cross-border digital asset platform will remain highly constrained.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Onboarding is subject to AML/KYC procedures, but compliance infrastructure and enforcement mechanisms may be evolving or incomplete.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Streamex’s ability to administer token offerings and operate the Streamex Platform is contingent on its implementation of AML and KYC protocols that comply with applicable legal and regulatory requirements. While these controls are operational, they may not yet meet the heightened expectations of global regulators, financial institutions, or institutional investors, and the Company continues to enhance its compliance infrastructure.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markets, particularly those involving cross-border transactions and asset-backed tokens, face increasing scrutiny under global AML frameworks such as the Financial Action Task Force recommendations and U.S. Bank Secrecy Act rules. Streamex’s current infrastructure may not yet include fully integrated tools for sanctions screening, politically exposed person flagging, suspicious activity reporting, or automated transaction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Streamex’s AML/KYC controls are deemed insufficient, improperly enforced, or inconsistently applied, Streamex could face enforcement actions, fines, reputational damage, or restrictions on banking, custody, or exchange access. In addition, counterparties, including bullion custodians, market makers, and institutional investors, may decline to engage with Streamex without confidence in the robustness of its compliance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build, maintain, and enforce a comprehensive AML/KYC framework could impede Streamex’s ability to scale operations, access global markets, or establish the credibility necessary to attract and retain users on its tokenization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Tokens are not currently listed on any exchange, and no market makers are engaged to provide liquidity or price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on Form 10-K, Streamex’s tokenized products, including its gold-backed tokens, are not listed on any centralized or decentralized exchange, nor has Streamex engaged any market makers to support liquidity or maintain price stability in secondary markets. Without an active trading venue or committed liquidity providers, investors may be unable to sell their tokens on a timely basis or at favorable prices, which could materially impair the perceived and actual value of the tokens.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listing arrangements may also limit price discovery, widen bid-ask spreads, and increase the risk of abrupt price volatility due to low trading volumes or concentrated holdings. Moreover, without market maker participation, tokens may be more susceptible to manipulation or speculative trading, especially in periods of market stress or heightened interest in gold or commodity-based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listing of tokenized assets on regulated exchanges is subject to a range of legal, operational, and jurisdictional requirements, including but not limited to exchange approvals, securities law compliance, and compatibility with listing standards. There can be no assurance that Streamex will succeed in listing its tokens on any exchange in the near term,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accessible, liquid secondary markets, tokenholders may be unable to exit their positions efficiently, and Streamex may face challenges in achieving broad adoption of its platform among institutional or retail investors seeking tradable, fungible digital asset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well-defined and enforceable transfer restrictions or lock-up terms, there is an increased risk that tokens may be transferred in violation of applicable securities laws, which could expose Streamex and tokenholders to legal liability, rescission claims, or enforcement actions. Conversely, overly restrictive mechanics could hinder investor participation, reduce market liquidity, or impair the attractiveness of the tokens as financial instruments.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resale rules under securities law (e.g., Rule 144 under the Securities Act) may require holding periods, reporting obligations, and affiliate restrictions, none of which can be operationalized without clearly documented and enforceable mechanics.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terms are disclosed and implemented through smart contracts, tokenholder agreements, or platform-level controls, investors face material uncertainty regarding the liquidity, portability, and regulatory treatment of their tokens. This uncertainty could limit institutional interest, raise compliance burdens, and adversely affect Streamex’s ability to execute its digital asset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event the bullion custodian or Streamex ceases operations, tokenholders may suffer losses and may not recover their full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of GLDY by the Streamex Platform relies heavily on third-party bullion custodians to store and safeguard the physical gold that underpins its tokenized assets. These custodians maintain insurance and adhere to industry best practices. In the event that a bullion custodian ceases operations—whether due to insolvency, regulatory action, negligence, or other disruption—the GLDY SPV may have limited or no ability to promptly retrieve or substitute the underlying gold, which could impair the value or redeemability of the associated tokens.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itself is a newly formed company with no established operating history and has not yet implemented bankruptcy-remote structures that would insulate tokenholders from the risks of issuer failure. Likewise, MM does not have extensive experience with the implementation of bankruptcy-remote structures such as those that support GLDY. If Streamex or MM were to cease operations or enter insolvency proceedings, tokenholders may be treated as unsecured creditors and subject to delays, write-downs, or total losses in the claims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custodians nor Streamex may be able to guarantee uninterrupted access to the gold reserves or to administer the token rights effectively during such periods of disruption. As a result, tokenholders may face material impairment in value, diminished liquidity, and a lack of clear recourse, which could have a significant adverse effect on the perceived reliability and attractiveness of the Streamex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were deemed to be an investment company under the Investment Company Act of 1940, applicable restrictions could significantly limit our business operations and adversely affect our ability to execute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Company Act of 1940 (the “1940 Act”) imposes significant regulatory burdens on entities that meet the definition of an “investment company.” Under Sections 3(a)(1)(A) and 3(a)(1)(C) of the 1940 Act, a company may be deemed to be an investment company if it is or holds itself out as being primarily engaged in the business of investing, reinvesting, or trading in securities or if it owns or proposes to acquire investment securities that comprise more than 40% of the value of its total assets (excluding government securities and cash items) on an unconsolidated basis. Rule 3a-1 under the 1940 Act provides a safe harbor from investment company status, subject to limitations on the proportion of assets and income derived from investment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is a software development company that intends to develop and commercialize blockchain-based solutions for tokenized commodities, including gold, decentralized trading infrastructure, and blockchain-enabled capital markets products. Our primary business is the development of technology and platforms—not investing in or trading securities. However, given that our business model involves the issuance and management of tokenized assets that may be deemed securities in certain jurisdictions, there is a risk that regulators such as the SEC could take the position that Streamex or a Streamex-affiliated issuer is engaged in investment company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1940 Act to digital assets, including tokenized commodities and smart contract-based financial products, is evolving and may raise novel interpretive issues. For example, in 2022 the SEC brought an action against BlockFi Lending LLC, asserting that it was operating as an unregistered investment company due to its securities-based loan portfolio and related activities. Similarly, tokenized gold products or SPVs used in Streamex’s structure—depending on their asset composition, investor rights, and operational model—may raise comparable concerns.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deemed an investment company, or if our tokenization activities were construed as causing us to engage in investment company activities under the 1940 Act, we could become subject to significant restrictions, including limitations on leverage, capital structure, affiliated transactions, and the issuance of different classes of securities. Moreover, we may be required to register as an investment company, divest certain operations, or restructure our product lines and legal entities—any of which could have a material adverse effect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conduct our operations and structure our product offerings in a manner designed to comply with available exemptions and to avoid investment company status. However, there can be no assurance that regulators will not challenge our characterization of our business activities or that we will continue to qualify for applicable exemptions. If we were deemed to be an investment company and failed to register as such or to qualify for an exemption, we could be subject to enforcement actions, penalties, and reputational harm.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PURE EP and other product candidates are in continued development and may not be successfully developed or commercialized.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main product candidate, PURE EP, received FDA 510(k) clearance from FDA, we are currently conducting research studies, which may require substantial further capital expenditure, to establish the safety and efficacy data needed to obtain acceptance by the medical community and coverage by third-party payors. The continued development of PURE EP, and/or any other product candidates we may develop, is dependent upon our ability to obtain sufficient additional financing. However, even if we are able to obtain the requisite financing to fund our development program, we cannot assure you that our current or future product candidates will be successfully developed or commercialized. Our failure to develop, manufacture, receive regulatory approval for, or successfully commercialize any of our product candidates could result in the failure of our business and a loss of all of your investment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finance our future cash needs through public or private equity offerings, debt financings or corporate collaboration and licensing arrangements. Any additional funds that we obtain may not be on terms favorable to us or our stockholders and may require us to relinquish valuable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PURE EP or another product of ours become commercially viable, we will have to fund all of our operations and capital expenditures from cash on hand, public or private equity offerings, debt financings, bank credit facilities or corporate collaboration and licensing arrangements. However, we may need to raise additional funds more quickly if one or more of our assumptions prove to be incorrect or if we choose to expand our product development efforts more rapidly than we presently anticipate. We also may decide to raise additional funds before we require them if we are presented with favorable terms for raising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to sell additional equity or debt securities, obtain a bank credit facility or enter into a corporate collaboration or licensing arrangement, we may not obtain favorable terms for us and/or our stockholders or be able to raise any capital at all, all of which could result in a material adverse effect on our business and results of operations. The sale of additional equity or debt securities, if convertible, could result in dilution to our stockholders. The incurrence of indebtedness would result in increased fixed obligations and could also result in covenants that would restrict our operations. Raising additional funds through collaboration or licensing arrangements with third parties may require us to relinquish valuable rights to our technologies, future revenue streams, research programs or product candidates, or to grant licenses on terms that may not be favorable to us or our stockholders. In addition, we could be forced to discontinue product development, reduce or forego sales and marketing efforts and forego attractive business opportunities, all of which could have an adverse impact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develop our existing or future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the PURE EP, may not deliver the levels of accuracy and reliability needed to make it a successful product in the marketplace, and the development of such accuracy and reliability may be indefinitely delayed or may never be achieved. In addition, we may experience delays in the development of our technology for other reasons, including failure to obtain necessary funding and failure to obtain all necessary regulatory approvals. Failure to develop this or other technology could have an adverse material effect on our business, financial condition, results of operations and future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delays in any phase of the preclinical or clinical development of a product, including during its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delays in any phase of the preclinical or clinical development of a product, including during its research and development. The completion of any of these studies may be delayed or halted for numerous reasons,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170"/>
        <w:gridCol w:w="9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the pre-clinical and clinical development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regulatory authorities do not approve a clinical study protocol or place a clinical study on hold;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do not enroll in a clinical study or results from patients are not received at the expected rate;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discontinue participation in a clinical study prior to the scheduled endpoint at a higher than expected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experience adverse events from a product we develop;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do not perform the studies in accordance with the anticipated schedule or consistent with the study protocol and good clinical practices or other third-party organizations do not perform data collection and analysis in a timely or accurate manner;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engage in activities that, even if not directly associated with our studies, result in their debarment, loss of licensure, or other legal or regulatory sanction;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inspections of manufacturing facilities, which may, among other things, require us to undertake corrective action or suspend the preclinical or 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governmental regulations or administrative 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results of the preclinical or clinical study, if any, are inconclusive or negative;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design, although approved and completed, is inadequate to demonstrate effectiveness and safety.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preclinical and clinical studies that we are required to conduct to gain regulatory approval are delayed or unsuccessful, we may not be able to market any product that we develop in the future. Preclinical studies and clinical trials are expensive and difficult to design and implement and any delays or prolongation of our preclinical and clinical studies will require additional capital. There is no assurance that we will be able to acquire additional capital to support our studies. The failure to obtain additional capital would have a material adverse effect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completed one clinical trial of our product. The results of additional clinical studies may not support the usefulness of 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we commenced our first clinical study with PURE EP and completed the clinical trial as of September 2021. Conducting clinical trials is a long, expensive, and uncertain process that is subject to delays and failure at any stage. Clinical trials can take months or years. The commencement or completion of any of our subsequent clinical trials may be delayed or halted for numerous reasons,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not approve a clinical trial protocol or a clinical trial, or may place a clinical trial on hold;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may not enroll in clinical trials at the rate we expect, or we may not follow up on subjects at the rate we expect;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may experience unexpected adverse events;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may not perform our clinical trials consistent with our anticipated schedule or the clinical trial protocols and good clinical practices, or other third-party organizations may not perform data collection and analysis in a timely or accurate manner;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results of any of our clinical trials may be inconclusive or negative;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inspections of our clinical trials may require us to undertake corrective action or suspend or terminate the clinical trials if investigators find us to be in violation of regulatory requirements;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regulations or administrative actions may change and impose new requirements, particularly with respect to reimbursement.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pre-clinical studies do not necessarily predict future clinical trial results and previous clinical trial results may not be repeated in subsequent clinical trials. We may experience delays, cost overruns and project terminations despite achieving promising results in pre-clinical testing or early clinical testing. In addition, the data obtained from clinical trials may be inadequate to support a device’s approval or clearance, or to demonstrate safety and efficacy to the extent required to obtain third-party coverage and/or reimbursement. The FDA may disagree with our interpretation of the data from our clinical trials, or may find the clinical trial design, conduct, or results inadequate to demonstrate the safety and effectiveness of the product candidate. The FDA may also require additional pre-clinical studies or clinical trials that could further delay clearance or approval of any product candidates we may develop in the future and/or the PURE EP to the extent we seek clearance/approval for different indications than that for which it is currently cleared. If we are unsuccessful in receiving FDA clearance approval of a future product candidate, or a product’s clearance or approval is withdrawn, we would not be able to commercialize the product(s) in the U.S., which could seriously harm our business. Moreover, we face similar risks in other jurisdictions in which we may sell or propose to sell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medical device industry is subject to stringent regulation and failure to obtain regulatory approval will prevent commercialization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devices are subject to extensive and rigorous regulation by the FDA pursuant to the Federal Food, Drug, and Cosmetic Act, by comparable agencies in foreign countries and by other regulatory agencies and governing bodies. Under the Federal Food, Drug, and Cosmetic Act and associated regulations, manufacturers of medical devices must comply with certain regulations that cover the composition, labeling, testing, clinical study, manufacturing, packaging and distribution of medical devices. In addition, medical devices must receive FDA clearance or approval before they can be commercially marketed in the U.S., and the FDA may require testing and surveillance programs to monitor the effects of approved products that have been commercialized and can prevent or limit further marketing of a product based on the results of these post-market evaluation programs. The process of obtaining marketing clearance or approval from the FDA for new products could take a significant period of time, require the expenditure of substantial resources, involve rigorous pre-clinical and clinical testing, require changes to the products and result in limitations on the indicated uses of the product. In addition, if we seek regulatory approval in non-U.S. markets, we will be subject to further regulatory approvals that may require additional costs and resources. There is no assurance that we will obtain necessary regulatory approvals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510(k) clearance for a medical device, a pre-market notification must be submitted to the FDA demonstrating that the device is “substantially equivalent” to a previously cleared “predicate” device. A new device is substantially equivalent to a predicate device “at least as safe and effective” as the predicate. The FDA considers a device substantially equivalent to a predicate if it has the same intended use as the predicate and has either: (i) the same technological characteristics as the predicate or (ii) different technological characteristics from the predicate, but the information submitted to the FDA does not raise new questions of safety or effectiveness or demonstrates that the device is at least as safe and effective as the predicate.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510(k) clearance to market our current lead product, the PURE EP in the U.S. However, if we intend to market the PURE EP for additional medical uses or indications, we may need to submit additional 510(k) applications to the FDA that are supported by satisfactory clinical trial results specifically for the additional indication. Clinical trials necessary to support 510(k) clearance or PMA approval for any future product candidates, or any new indications for use for our PURE EP, would be expensive and could require the enrollment of large numbers of suitable patients who could be difficult to identify and recruit. Delays or failures in any necessary clinical trials could prevent us from commercializing any modified product or new product candidate and could adversely affect our business, operating results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initial clinical trials may not provide sufficient evidence to allow the FDA to grant us such additional marketing clearances and even additional trials requested by the FDA may not result in our obtaining 510(k) marketing clearance for our product. The failure to obtain FDA marketing clearance for any additional indications for the PURE EP or any other of our future products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third-party manufacturer(s), are, and will be, subject to extensive regulation by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pre-market regulations, once a device is approved or cleared for the applicable indications for use, numerous FDA regulations apply, including but not limited to those relating to manufacturing, labeling, packaging, advertising, and record keeping. Notably, these regulations apply to us, as well as our contract manufacturer(s). Even if regulatory approval or clearance of a product is obtained, the approval or clearance may be subject to limitations on the uses for which the product may be marketed or contain requirements for costly post-marketing testing and surveillance to monitor the safety or efficacy of the product. Any such requirements could reduce our revenues, increase our expenses, and render the product not commercially viable. If we fail to comply with the applicable regulatory requirements, or if previously unknown problems with any approved commercial products, manufacturers, or manufacturing processes are discovered, we could be subject to administrative or judicially imposed sanctions or other negative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our products, manufacturers or manufacturing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and untitled letters;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penalties and criminal prosecutions and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seizures or detentions;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bans or restrictions;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or mandatory product recalls and related publicity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regulatory approvals;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or partial suspension of production;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for marketing approval of new products or of supplements to approved applications.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are constantly changing, and in the future our business may be subject to additional regulations that increase our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understand the current laws and regulations to which our products will be subject in the future. However, federal, state and foreign laws and regulations relating to the sale of our products are subject to future changes, as are administrative interpretations of regulatory agencies. If we fail to comply with such federal, state or foreign laws or regulations, we may fail to obtain regulatory approval for our products and, if we have already obtained regulatory approval, we could be subject to enforcement actions, including injunctions preventing us from conducting our business, withdrawal of clearances or approvals and civil and criminal penalties. In the event that federal, state, and foreign laws and regulations change, we may incur additional costs to seek government approvals, in addition to the clearance from the FDA in order to sell or market our products. If we are slow or unable to adapt to changes in existing regulatory requirements or the promulgation of new regulatory requirements or policies, we or our licensees may, following approval, lose marketing approval for our products which will impact our ability to conduct business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our technology and revenue generation avenues for our EP products may be slow to develop,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products may be slower to develop or smaller than estimated or it may be more difficult to build the market than anticipated. The medical community may resist our products or be slower to accept them than we anticipate. Revenues from our products may be delayed or costs may be higher than anticipated which may result in our need for additional funding. We anticipate that our principal route to market will be through commercial distribution partners. These arrangements are generally non-exclusive and have no guaranteed sales volumes or commitments. The partners may be slower to sell our products than anticipated. Any financial, operational or regulatory risks that affect our partners could also affect the sales of our products. In the current economic environment, hospitals and clinical purchasing budgets may exercise greater restraint with respect to purchases, which may result in purchasing decisions being delayed or denied. If any of these situations were to occur this could have a material adverse effect on our business, financial condition, results of operations and future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 of the size of our addressable EP market may prove to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addressable market size estimate for the EP market was made in good faith and is based on assumptions and estimates we believe to be reasonable, this estimate may not be accurate. If our estimates of the size of our addressable market are not accurate, our potential for future growth may be less than we currently anticipate,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seek to market our EP products in foreign jurisdictions, we may need to obtain regulatory approval in these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market our products in the European Union and many other foreign jurisdictions, we may need to obtain separate regulatory approvals and comply with numerous and varying regulatory requirements. Approval procedures vary among countries (except with respect to the countries that are part of the European Economic Area) and can involve additional clinical testing. The time required to obtain approval may differ from that required to obtain FDA approval. Should we decide to market our products abroad, we may fail to obtain foreign regulatory approvals on a timely basis, if at all. Approval by the FDA does not ensure approval by regulatory authorities in other countries, and approval by one foreign regulatory authority, including obtaining CE Mark approval, does not ensure approval by regulatory authorities in other foreign countries or by the FDA. We may be unable to file for, and may not receive, necessary regulatory approvals to commercialize our products in any foreign market, which could adversely affect our business prospects. In addition, a new Medical Device Regulation was published in 2017, which includes additional premarket and post-market requirements, as well as potential product reclassifications or more stringent commercialization requirements that could delay or otherwise adversely affect our clearances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EP market is highly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groups and organizations, such as healthcare, medical device and software companies in the EP market that may develop a competitive offering to our products. The largest companies in the EP market are GE, Johnson &amp; Johnson, Boston Scientific, Siemens, Medtronic, and Abbott. All of these companies have significantly greater resources, experience and name recognition than we possess. There is no assurance that they will not attempt to develop similar or superior products, that they will not be successful in developing such products or that any products they may develop will not have a competitive advantage over our products. Moreover, our product may not be viewed as superior to existing technology or new technology from our competitors and as a result we may not be able to justify expected selling price our product, which may have a material adverse effect on market acceptance of our product. In addition, if we experience delayed regulatory approvals or disputed clinical claims, we may not have a commercial or clinical advantage over competitors’ products that we believe we currently possess. Should a superior offering come to market, this could have a material adverse effect on our business, financial condition, results of operations and future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key officers, consultants and scientific and medical advisors, and their knowledge of our business and technical expertise would be difficult to replace.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officers, consultants and scientific and medical advisors because of their expertise and experience in medical device development. We do not have “key person” life insurance policies for any of our officers. Moreover, if we are unable to obtain additional funding, we will be unable to meet our current and future compensation obligations to such employees and consultants. In light of the foregoing, we are at risk that one or more of our consultants or employees may leave our company for other opportunities where there is no concern about such employers fulfilling their compensation obligations, or for other reasons. The loss of the technical knowledge and management and industry expertise of any of our key personnel could result in delays in product development, loss of customers and sales and diversion of management resources, which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attract and retain qualified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rapidly expand our operations and grow our sales, research and development and administrative operations. This expansion is expected to place a significant strain on our management and will require hiring a significant number of qualified personnel. Accordingly, recruiting and retaining such personnel in the future will be critical to our success. There is intense competition from other companies, research and academic institutions, government entities and other organizations for qualified personnel in the areas of our activities. Many of these companies, institutions and organizations have greater resources than we do, along with more prestige associated with their names. If we fail to identify, attract, retain and motivate these highly skilled personnel, we may be unable to continue our marketing and development activities, and this could have a material adverse effect on our business, financial condition, results of operations and 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effectively manage changes in our business, these changes could place a significant strain on our management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successfully requires an effective planning and management process. The expansion and growth of our business could place a significant strain on our management systems, infrastructure and other resources. To manage our growth successfully, we must continue to improve and expand our systems and infrastructure in a timely and efficient manner. Our controls, systems, procedures and resources may not be adequate to support a changing and growing company. If our management fails to respond effectively to changes and growth in our business, including acquisitions, there could be a material adverse effect on our business, financial condition, results of operations and 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business plan may not produce the intended growth in revenue and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strategies ultimately include making significant investments in sales and marketing programs to achieve revenue growth and margin improvement targets. If we do not achieve the expected benefits from these investments or otherwise fail to execute on our strategic initiatives, we may not achieve the growth improvement we are targeting and our results of operations may be adversely affected. We may also fail to secure the capital necessary to make these investments, which will hinder our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our strategy for growth, we may make acquisitions and enter into strategic alliances such as joint ventures and joint development agreements. However, we may not be able to identify suitable acquisition candidates, complete acquisitions or integrate acquisitions successfully, and our strategic alliances may not prove to be successful. In this regard, acquisitions involve numerous risks, including difficulties in the integration of the operations, technologies, services and products of the acquired companies and the diversion of management’s attention from other business concerns. Although we will endeavor to evaluate the risks inherent in any particular transaction, there can be no assurance that we will properly ascertain all such risks. In addition, acquisitions could result in the incurrence of substantial additional indebtedness and other expenses or in potentially dilutive issuances of equity securities. There can be no assurance that difficulties encountered with acquisitions will not have a material adverse effect on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have limited sales, marketing or distribution operations and will need to expand our expertise in these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limited sales, marketing or distribution operations. We have begun implementing a market development program and are in the process of building such operations in connection with the commercialization of PURE EP, and we are expanding our expertise in sales, marketing and distribution operations for commercial growth. To increase internal sales, distribution and marketing expertise and be able to conduct these operations, we have begun to invest in and will have to invest significant amounts of financial and management resources. In developing these functions ourselves, we could face a number of risks, including:</w:t>
      </w:r>
    </w:p>
    <w:p>
      <w:pPr>
        <w:pStyle w:val="TextBody"/>
        <w:bidi w:val="0"/>
        <w:spacing w:before="0" w:after="0"/>
        <w:ind w:left="0" w:right="0" w:hanging="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attract and build an effective marketing or sales force;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training and providing regulatory oversight for a marketing or sales force may be substantial; and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legal and regulatory risks in medical device marketing and sales that we have never faced, and any failure to comply with applicable legal and regulatory requirements for sales, marketing and distribution could result in an enforcement action by the FDA, European regulators or other authorities that could jeopardize our ability to market our planned products or could subject us to substantial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development program depends upon third-party researchers, including Mayo Clinic, who are outside our control and whose negative performance could materially hinder or delay our pre-clinical testing or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the ability to conduct all aspects of pre-clinical testing or clinical trials ourselves. We depend upon independent investigators and collaborators, such as commercial third-parties, government, universities and medical institutions, to conduct our pre-clinical and clinical trials under agreements with us. For our first clinical trial for the PURE EP, titled “Novel Cardiac Signal Processing System for Electrophysiology Procedures (PURE EP 2.0 Study)” which commenced in November 2019, we rely on third parties, including TCARF and Mayo Clinic to conduct the patient cases. In addition, we are party to various license agreements with Mayo, pursuant to which we rely on research and development information, materials, technical data, unpatented inventions, trade secrets, know-how and supportive information of Mayo to develop, make, have made, use, offer for sale, sell, and import licensed products.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The failure of any of these outside collaborators to perform in an acceptable and timely manner in the future, including in accordance with any applicable regulatory requirements, such as good clinical and laboratory practices, or pre-clinical testing or clinical trial protocols, could cause a delay or otherwise adversely affect our pre-clinical testing or clinical trials, our success in obtaining regulatory approvals and, ultimately, the timely advancement of our development programs. In addition, these collaborators may also have relationships with other commercial entities, some of whom may compete with us. If our collaborators assist our competitors at our expense, our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healthcare providers are unable to obtain sufficient reimbursement or other financial incentives from third-party healthcare payers related to the use of our products, their adoption and our future product sales will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Widespread adoption of the PURE EP, and any other products we may develop in the future, by the medical community is unlikely to occur without a financial incentive from third-party payors for the use of these products. Third-party payors include but are not limited to governmental programs such as Medicare and Medicaid, commercial health insurers and private payors, workers’ compensation programs, and other organizations. Currently, the PURE EP does not receive separate reimbursement from any third-party payor. Instead, healthcare providers typically receive reimbursement for the procedure in which our product is used. Future regulatory action by CMS or other governmental agencies, or unfavorable clinical data, among other things, may impact coverage and/or reimbursement policies for procedures performed using our products. If healthcare providers are unable to obtain adequate coverage of, or reimbursement for, procedures performed using our products, or if managed care organizations do not receive improved capitated payments due to more accurate patient risk assessment using our products, we may be unable to sell our products at levels that are sufficient to allow us to achieve and maintain profitability, and our business would suffer significantly.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associated with future litigation and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 involved in one or more lawsuits, claims or other proceedings. These suits could concern issues including contract disputes, employment actions, employee benefits, taxes, environmental, health and safety, personal injury and product liability matters. Due to the uncertainties of litigation, we can give no assurance that we will prevail on any claims made against us in any such lawsuit. Also, we can give no assurance that any other lawsuits or claims brought in the future will not have an adverse effect on our financial condition, liquidity or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be sued on product liability claims is inherent in the development and commercialization of medical devices. Specifically, we believe we will be subject to product liability claims or product recalls, particularly in the event of false positive or false negative reports, because we plan to develop and manufacture medical diagnostic products. Once a product is approved for sale and commercialized, the likelihood of product liability lawsuits increases. Product liability claims could be asserted directly by consumers, health-care providers or others. We have obtained product liability insurance coverage; however such insurance may not provide full coverage for our current or future clinical trials, products to be sold, and other aspects of our business. A product recall or a successful product liability claim or claims that exceed our planned insurance coverage could have a material adverse effect on us. In addition, insurance coverage is becoming increasingly expensive and we may not be able to maintain current coverage, or expand our insurance coverage to include future clinical trials or the sale of new products or existing products in new territories, at a reasonable cost or in sufficient amounts to protect against losses due to product liability or at all. A successful product liability claim or series of claims brought against us could result in judgments, fines, damages and liabilities that could have a material adverse effect on our business, financial condition and results of operations. In the event of an award against us during a time when we have no available insurance or insufficient insurance, we may sustain significant losses of our operating capital. We may incur significant expense investigating and defending these claims, even if they do not result in liability. Moreover, even if no judgments, fines, damages or liabilities are imposed on us, our reputation could suffer, which could have a material adverse effect on our business, financial condition and results of operations, as well as impair our reputation in the medical and investment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cybersecurity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increasingly dependent on information technologies and services. Threats to information technology systems associated with cybersecurity risks and cyber incidents or attacks continue to grow, and include, among other things, storms and natural disasters, terrorist attacks, utility outages, theft, viruses, phishing, malware, design defects, human error, and complications encountered as existing systems are maintained, repaired, replaced, or upgraded. Risks associated with these threats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theft or misappropriation of funds;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corruption, or misappropriation of intellectual property, or other proprietary, confidential or personally identifiable information (including supplier, or employee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or impairment of our and our business operations and safety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with our potential customers and the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to prevent, respond to or mitigate cybersecurity events.</w:t>
            </w:r>
          </w:p>
        </w:tc>
      </w:tr>
    </w:tbl>
    <w:p>
      <w:pPr>
        <w:pStyle w:val="TextBody"/>
        <w:bidi w:val="0"/>
        <w:spacing w:before="0" w:after="0"/>
        <w:ind w:left="0" w:right="0" w:firstLine="4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digital asset infrastructure and tokenization initiatives, cybersecurity and data protection risks may be heightened. A successful cybersecurity incident could result in service disruption, theft or loss of digital assets, unauthorized access to confidential or personally identifiable information, reputational harm, regulatory scrutiny, litigation, and increased costs to prevent, respond to, or mitigate cybersecurity events. We also have limited control over the information technology systems of third parties with which our systems may connect and communicate, including custodians, compliance service providers, and other vendors, and an incident at a third party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utilize various procedures and controls to mitigate our exposure to such risk, cybersecurity attacks and other cyber events are evolving and unpredictable. Moreover, we have no control over the information technology systems of our suppliers, and others with which our systems may connect and communicate. As a result, the occurrence of a cyber incident could go unnoticed for a period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maintain insurance coverage to protect against cybersecurity risks. However, we cannot ensure that it will be sufficient to cover any particular losses we may experience as a result of such cyberattacks. Any cyber incident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directly or indirectly, to U.S. federal and state healthcare laws, including fraud and abuse, false claims, and privacy laws and regulations. Prosecutions under such laws have increased in recent years and we may become subject to such litigation and enforcement. If we are unable to, or have not fully complied with such laws, we could face substantial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directly or indirectly, to various U.S. federal and state healthcare laws and regulations. These laws include fraud and abuse laws, such as the federal Anti-Kickback Statute, federal False Claims Act, and federal Foreign Corrupt Practices Act. These laws may impact, among other things, our proposed sales, marketing and education programs. In addition, we may be subject, directly or indirectly, to patient privacy regulations by both the federal government and the states in which we conduct our business. The healthcare laws that may affect our ability to operate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persons from knowingly and willfully soliciting, offering, receiving, or providing remuneration (including any kickback, bribe, or rebate), directly or indirectly, overtly or covertly, in cash or in kind, in exchange for or to induce either the referral of an individual, or the furnishing or arranging for a good or service, for which payment may be made under a federal healthcare program, such as the Medicare and Medicaid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self-referral law, commonly referred to as the Stark Law, which prohibits a physician from making a referral for certain designated health services covered by the Medicare program, if the physician or an immediate family member has a financial relationship with the entity providing the designated health services, unless the financial relationship falls within an applicable exception to the prohibition.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and criminal false claims laws and civil monetary penalty laws, including the False Claims Act, which prohibits persons from knowingly filing, or causing to be filed, a false claim to, or the knowing use of false statements to obtain payment from, the federal government. Suits may be filed under the federal False Claims Act by the government or by an individual on behalf of the government (known as “qui tam” actions). Such individuals, commonly known as “relators” or “whistleblowers,” may share in any amounts paid by the entity to the government in fines or settlement.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under the Patient Protection and Affordable Care Act and the Health Care and Education Reconciliation Act, including the provision known as the Physician Payments Sunshine Act, which requires manufacturers of drugs, biologics, devices and medical supplies covered under Medicare, Medicaid, or the Children’s Health Insurance Program (CHIP) to record any information related to payments and other transfers of value to physicians and teaching hospitals, as well as ownership and investment interests held by physicians and their immediate family members, and to report this data annually to CMS for subsequent public disclosure. Manufacturers must also disclose investment interests held by physicians and their family members.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criminal statutes created through the Health Insurance Portability and Accountability Act of 1996 (HIPAA),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of 2009 and their respective implementing regulations, which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federal and state fraud and abuse laws, prohibitions on self-referral and kickbacks, fee-splitting restrictions, prohibitions on the provision of products at no or discounted cost to induce physician or patient adoption, and false claims acts, transparency, reporting, and disclosure requirements, which may extend to services reimbursable by any third-party payer, including private insurers.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federal consumer protection and unfair competition laws, which broadly regulate marketplace activities and activities that could potentially harm consumers.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be subject to state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Several states impose marketing restrictions or require medical device companies to make marketing or price disclosures to the state. There are ambiguities as to what is required to comply with these state requirements, and if we fail to comply with an applicable state law requirement, we could be subject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breadth of these laws and the narrowness of the statutory exceptions and safe harbors available, it is possible that some of our future business activities could be subject to challenge under one or more of such laws. In addition, healthcare reform legislation has strengthened these laws. For example, the Affordable Care Act, among other things, amended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Affordable Care Act provides that the government may assert that a claim including items or services resulting from a violation of the federal Anti-Kickback Statute constitutes a false or fraudulent claim for purposes of the False Claims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False Claims Act as well as under the false claims laws of several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business arrangements with third parties comply with applicable healthcare laws and regulations will involve substantial costs. It is possible that governmental authorities will conclude that our existing or future business practices do not comply with current or future statutes, regulations or case law involving applicable fraud and abuse or other healthcare laws and regulations. Any such actions instituted against us could have a significant adverse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Even if we are successful in defending against such actions, we may nonetheless be subject to substantial costs, reputational harm and adverse effects on our ability to operate our business. In addition, the approval and commercialization of any of our products outside the United States will also likely subject us to non-U.S. equivalents of the healthcare laws mentioned above, among other non-U.S.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employees, agents, or the physicians or other providers or entities with whom we do business are found to have violated applicable laws, we may be subject to criminal, civil or administrative sanctions, including exclusions from government funded healthcare programs, or, if we are not subject to such actions, we may suffer reputational harm for conducting business with persons or entities found, or accused of being, in violation of such laws. Any such events could adversely affect our ability to operate our business and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we commence commercial operations overseas, we will be subject to the federal Foreign Corrupt Practices Act and other countries’ anti-corruption/anti-bribery regimes, such as the U.K. Bribery Act. The federal Foreign Corrupt Practices Act prohibits improper payments or offers of payments to foreign governments and their officials for the purpose of obtaining or retaining business. Safeguards we implement to discourage improper payments or offers of payments by our employees, consultants, sales agents or distributors may be ineffective, and violations of the federal Foreign Corrupt Practices Act and similar laws may result in severe criminal or civil sanctions, or other liabilities or proceedings against us, any of which would likely harm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if healthcare legislation or reform measures substantially change the market for medical care or healthcare coverage in the U.S., negatively affecting our business or revenue for PURE EP or future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Care Act of 2010, as amended by the Health Care and Education Reconciliation Act of 2010, commonly referred to as the “Healthcare Reform Law,” includes a number of rules regarding health insurance, the provision of healthcare, conditions to reimbursement for healthcare services provided to Medicare and Medicaid patients, and other healthcare policy reforms. Through the law-making process, substantial changes have been and continue to be made to the current system for paying for healthcare in the U.S., including changes made to extend medical benefits to certain Americans who lacked insurance coverage and to contain or reduce healthcare costs (such as by reducing or conditioning reimbursement amounts for healthcare services and medical devices, and imposing additional taxes, fees, and rebate obligations on medical device companies). This legislation was one of the most comprehensive and significant reforms ever experienced by the U.S. in the healthcare industry and has significantly changed the way healthcare is financed by both governmental and private insurers. This legislation has impacted the scope of healthcare insurance and incentives for consumers and insurance companies, among others. Additionally, the Healthcare Reform Law’s provisions were designed to encourage providers to find cost savings in their clinical operations. Medical devices represent a significant portion of the cost of providing care. This environment has caused changes in the purchasing habits of consumers and providers and resulted in specific attention to the pricing negotiation, product selection and utilization review surrounding medical devices. This attention may result in our products we may commercialize or promote, including our current commercial products, being chosen less frequently or the pricing being substantially lowered. At this stage, it is difficult to estimate the full extent of the direct or indirect impact of the Healthcare Reform Law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structural changes could entail further modifications to the existing system of private payors and government programs (such as Medicare, Medicaid, and the State Children’s Health Insurance Program), creation of government-sponsored healthcare insurance sources, or some combination of both, as well as other changes. Restructuring the coverage of medical care in the U.S. could impact the reimbursement for medical devices, including our current commercial products, those we and our development or commercialization partners are currently developing or those that we may commercialize or promote in the future. If reimbursement for our approved medical devices, products we currently commercialize or promote, or any product we may commercialize or promote is substantially reduced or otherwise adversely affected in the future, or rebate obligations associated with them are substantially increased, it could have a material adverse effect on our reputation,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medical benefits to those who currently lack coverage will likely result in substantial costs to the U.S. federal government, which may force significant additional changes to the healthcare system in the U.S. Much of the funding for expanded healthcare coverage may be sought through cost savings. While some of these savings may come from realizing greater efficiencies in delivering care, improving the effectiveness of preventive care and enhancing the overall quality of care, much of the cost savings may come from reducing the cost of care and increased enforcement activities. Cost of care could be reduced further by decreasing the level of reimbursement for medical services or products (including those products currently being developed by us or our development or commercialization partners or any product we may commercialize or promote, including our current commercial products), or by restricting coverage (and, thereby, utilization) of medical services or products. In either case, a reduction in the utilization of, or reimbursement for, any medical device or any product we may commercialize or promote, including our current commercial products, or for which we receive marketing approval in the future, could have a material adverse effect on our reputation, business, financial condition or results of operations.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healthcare regulatory environment has seen significant changes in recent years and is still in flux. Legislative initiatives to modify, limit, replace, or repeal the Healthcare Reform Law and judicial challenges have continued for over a decade. However, as of the Supreme Court’s ruling ordering the dismissal of, arguably, the most promising case challenging the Healthcare Reform Law to-date in June 2021, it appears that the Healthcare Reform Law will remain in-effect in its current form for the foreseeable future; however, we cannot predict what additional challenges may arise in the future, the outcome thereof, or the impact any such actions may have on our business. Additionally, the previous Biden administration has introduced various measures in recent years, focusing on healthcare and medical-product pricing, in particular. It remains to be seen how these measures will affect our business and there is uncertainty as to what other healthcare programs and regulations may be implemented or changed at the federal and/or state level in the U.S., but, it is possible that such initiatives could have an adverse effect on our ability to obtain approval and/or successfully commercialize products in the U.S. in the future. For example, any changes that reduce, or impede the ability of healthcare providers to obtain reimbursement for medical procedures in which the products we currently, or intend to, commercialize are used, or that reduce medical procedure volumes, could adversely affect our operations and/or future business plans. The financial impact of U.S. healthcare reform legislation over the next few years will depend on a number of factors, including the policies reflected in implementing regulations and guidance and changes in sales volumes for medical devices affected by the legislation. From time to time, legislation is drafted, introduced and passed in the U.S. Congress that could significantly change the statutory provisions governing coverage, reimbursement, pricing, and marketing of medical device products. In addition, third-party payor coverage and reimbursement policies are often revised or interpreted in ways that may significantly affect our business and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smaller reporting company, we are subject to scaled disclosure requirements that may make it more challenging for investors to analyze our results of operations and financial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a “smaller reporting company,” as defined by Rule 12b-2 of the Exchange Act. As a “smaller reporting company,” we are able to provide simplified executive compensation disclosures in our filings and have certain other decreased disclosure obligations in our filings with the SEC, including being required to provide only two years of audited financial statements in annual reports. Consequently, it may be more challenging for investors to analyze our results of operations and financial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are a non-accelerated filer as defined by Rule 12b-2 of the Exchange Act, and, as such, are not required to provide an auditor attestation of management’s assessment of internal control over financial reporting, which is generally required for SEC reporting companies under Section 404(b) of the Sarbanes-Oxley Act. Because we are not required to, and have not, had our auditor’s provide an attestation of our management’s assessment of internal control over financial reporting, a material weakness in internal controls may remain undetected for a longer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uncertainty and financial market volatility caused by political instability, changes in international trade relationships and conflicts could make it more difficult for us to access financing and could adversely affect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capital is subject to the risk of adverse changes in the market value of our stock. Periods of macroeconomic weakness or recession and heightened market volatility caused by adverse geopolitical developments could increase these risks, potentially resulting in adverse impacts on our ability to raise further capital on favorable terms. The impact of geopolitical tension, such as a deterioration in the bilateral relationship between the U.S. and China or in the ongoing conflicts between Russia and Ukraine, including resulting sanctions, export controls or other restrictive actions that may be imposed by the U.S. and/or other countries against governmental or other entities in, for example, Russia, also could lead to disruption, instability and volatility in global trade patterns, which may in turn impact our ability to source necessary reagents, raw materials and other inputs for our research and development operations. In addition, political developments impacting government spending and international trade, including changes in trade agreements, potential government shutdowns and trade disputes and tariffs, including tariffs that have been or may in the future be imposed by the United States or other countries and future legislation or actions taken by the United States or other countries that restrict trade, and protectionist or retaliatory measures taken by the United States or other countries, may negatively impact markets and cause weaker macroeconomic conditions. Any of the abovementioned factors could affect our business, prospects, financial condition, and operating results. The extent and duration of any political instability and resulting market disruptions are impossible to predict but could be substantial. Any such disruptions may also have the effect of heightening many of the other risks and uncertainties described elsewhere in this “Risk Factors” section.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 Congress, the Trump administration, or any new administration may make substantial changes to fiscal, tax, and other federal policies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in President Trump’s second term. The transitions between the Trump and Biden presidential terms led to substantial changes in the direction and focus of administrative and regulatory policies. Changes to U.S. policy implemented by the U.S. Congress, the Trump administration or any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Company has concluded that there are material weaknesses in its internal control over financial reporting, which, if not remediated, could materially adversely affect its ability to timely and accurately report its results of operations and financial condition. The accuracy of the Company</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 financial reporting depends on the effectiveness of its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can provide only reasonable assurance with respect to the preparation and fair presentation of financial statements and may not prevent or detect misstatements. Failure to maintain effective internal control over financial reporting, or lapses in disclosure controls and procedures, could undermine the Company’s ability to provide accurate financial information on a timely basis, which could cause investors to lose confidence in the Company’s disclosures, require significant resources to remediate the deficiency, and expose the Company to legal or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performing management’s assessment of internal control over financial reporting as of December 31, 2025, management identified the following material weaknesses: (i) inadequate identification, recording and reporting of stock-based compensation, (ii) ineffective review processes over period-end financial disclosure and reporting, including review of IPE (Information Produced by the Entity), (iii) inadequate segregation of duties for transaction posting and processing, and (iv) ineffective review controls over the accounting for business combinations and related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material weaknesses, there was a reasonable possibility that material misstatements in the Company’s financial statements could occur and not be prevented or detected on a timely basis. Accordingly, management concluded that the Company’s internal control over financial reporting was not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remediation efforts for these material weaknesses are ongoing. Remediation and strengthening of the internal control environment has required, and is expected to continue to require, substantial effort in 2026. The material weaknesses cannot be considered fully remediated until the applicable controls have operated effectively for a sufficient period of time and management has tested and concluded that these controls are operating as designed. The Company cannot provide assurance that the identified material weaknesses will be fully remediated or that additional material weaknesses will not be identified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inherent limitations in all control systems, and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internal control provisions of Section 404 of the Sarbanes-Oxley Act of 2002 require us to identify material weaknesses in internal control over financial reporting, which is a process to provide reasonable assurance regarding the reliability of financial reporting for external purposes in accordance with accounting principles generally accepted in the United States. Our management, including our chief executive officer and chief financial officer, does not expect that our internal controls and disclosure controls will prevent all errors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errors or mistakes. Further, controls can be circumvented by individual acts of some persons, by collusion of two or more persons,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a control may be inadequate because of changes in conditions, such as growth of the company or increased transaction volume, or the degree of compliance with the policies or procedures may deteriorate. Because of inherent limitations in a cost-effective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discovery and disclosure of a material weakness, by definition, could have a material adverse impact on our financial statements. Such an occurrence could discourage certain customers or suppliers from doing business with us and adversely affect how our stock trades. This could in turn negatively affect our ability to access equity markets for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obtain protection for our intellectual property rights, our competitors may be able to take advantage of our research and development efforts to develop competing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rely on a combination of patents, trade secrets, and nondisclosure and non-competition agreements to protect our proprietary intellectual property. Our owned patent portfolio now includes 46 issued/allowed utility patents (34 utility patents where the Company is at least one of the applicants). Thirty additional U.S. and foreign utility patent applications are pending covering various aspects of our PURE EP System for recording, measuring, calculating and displaying of electrocardiograms during cardiac ablation procedures (30 U.S. and foreign utility patent applications where either the Company, Mayo, or both is at least one of the applicants). We also have one U.S. patent and one U.S. pending application directed to artificial intelligence (AI). We also have 30 issued worldwide design patents, which cover various features of our display screens and graphical user interface for enhanced visualization of biomedical signals (30 design patents where the Company is at least one of the applicants). Finally, we have licenses to 12 (issued/allowed) patents and 7 additional worldwide utility patent applications from Mayo Foundation for Medical Education and Research that are pending (12 issued/allowed patents and 7 applications where only Mayo is the applicant). These patents and applications are generally directed to electroporation and stimulation.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file additional patent applications in the U.S. and in other countries as we deem appropriate for our products. Our applications have and will include claims intended to provide market exclusivity for certain commercial aspects of the products, including the methods of production, the methods of usage and the commercial packaging of the products. However, we cannot predict: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and range of protection any patents will afford us against competitors, including whether third parties will find ways to invalidate or otherwise circumvent our patents;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such patents will be issued, and, if granted, whether patents will be challenged and held invalid or unenforceable;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others will obtain patents claiming aspects similar to those covered by our patents and patent applications;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need to initiate litigation or administrative proceedings which may be costly regardless of outcome.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rights are territorial, and patent protection extends only to those countries where we have issued patents. Filing, prosecuting and defending patents on our products and product candidates in all countries and jurisdictions throughout the world would be prohibitively expensive, and our intellectual property rights in some countries outside the United States could be less extensive than those in the United States. Many countries, however, do not protect intellectual property to the same extent as the U.S. or Europe, and their litigation processes differ. Competitors may successfully challenge or avoid our patents, or manufacture products in countries where we have not applied for patent protection. Changes in the patent laws in the U.S. or other countries may diminish the value of our patent rights. As a result of these and other factors, the scope, validity, enforceability, and commercial value of our patent rights are uncertain and unpredictable.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Indeed, several companies have encountered significant problems in protecting and defending intellectual property rights in foreign jurisdictions. The legal systems of some countries do not favor the enforcement of patents and other intellectual property rights, which could make it difficult for the Company to stop the infringement, misappropriation or other violation of the Company’s intellectual property rights generally. Proceedings to enforce the Company’s intellectual property rights in foreign jurisdictions could result in substantial costs and divert our efforts and attention from other aspects of the Company’s business, could put the Company’s patents at risk of being invalidated or interpreted narrowly and the Company’s patent applications at risk of not issuing and could provoke third parties to assert claims against the Company. The Company may not prevail in any lawsuits that it initiates, and the damages or other remedies awarded, if any, may not be commercially meaningful.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medical device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A third-party may submit prior art, or we may become involved in opposition, derivation, reexamination, inter partes review, post-grant review, supplemental examination, or interference proceedings challenging our patent rights or the patent rights of our licensors or development partners. The costs of defending or enforcing our proprietary rights in these proceedings can be substantial, and the outcome can be uncertain. An adverse determination in any such submission or proceeding could reduce the scope of, or invalidate, our patent rights, allow third parties to commercialize our technology or products and compete directly with us, or reduce our ability to manufacture or commercialize products. Furthermore, if the scope or strength of protection provided by our patents and patent applications is threatened, it could discourage companies from collaborating with us to license, develop or commercialize current or future products. The ownership of our proprietary rights could also be challenged.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particularly in litigation in countries other than the U.S. that do not provide an extensive discovery procedure.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we rely on trade secret protection and confidentiality agreements. To this end, it is our policy to require all of our employees, consultants, advisors and contractors to enter into agreements which prohibit the disclosure of confidential information and, where applicable, require disclosure and assignment to us of the ideas, developments, discoveries and inventions important to our business. These agreements may not provide adequate protection for our trade secrets, know-how or other proprietary information in the event of any unauthorized use or disclosure or the lawful development by others of such information. If any of our trade secrets, know-how or other proprietary information is disclosed, the value of our trade secrets, know-how and other proprietary rights would be significantly impaired and our business and competitive position would suffer.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fact that we may pose a competitive threat, competitors, especially large and well-capitalized companies that own or control patents relating to electrophysiology recording systems, may successfully challenge our current and planned patent applications, produce similar products or products that do not infringe our future patents, or produce products in countries where we have not applied for patent protection or that do not respect our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events occurs, or we otherwise lose protection for our trade secrets or proprietary know-how, the value of our intellectual property may be greatly reduced. Patent protection and other intellectual property protection are important to the success of our business and prospects, and there is a substantial risk that such protections will prove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infringe upon the rights of third parties, we could be prevented from selling products and forced to pay damages and defend against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also depends upon our ability, and the ability of any third party with which we may partner, to develop, manufacture, market and sell our products, if approved, and use our patent-protected technologies without infringing the patents of third parties. We may not have identified all patents, published applications or published literature that affect our business by blocking our ability to commercialize our products, by preventing the patentability of one or more aspects of our products to us or our licensors, or by covering the same or similar technologies that may affect our ability to market our products. For example, we (or the licensor of a product to us) may not have conducted a patent clearance search sufficient to identify potentially obstructing third party patent rights. Moreover, patent applications in the United States are maintained in confidence for up to 18 months after their filing. In some cases, however, patent applications remain confidential in the U.S. Patent and Trademark Office, or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were the first to invent, or the first to file, patent applications covering our products.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methods, processes and other technologies infringe the proprietary rights of other parties, we could incur substantial costs and we may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licenses, which may not be available on commercially reasonable terms, if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abandon an infringing product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product candidates or processes to avoid infringement;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usage of the subject matter claimed in the patents held by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damages;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 litigation or administrative proceedings which may be costly regardless of outcome, and which could result in a substantial diversion of our financial and management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resources to bring these actions to a successful conclusion. Any of these events could substantially harm our earnings, financial condition and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depend on our collaboration with Mayo Clinic for the research and development of additional advanced features of PURE EP. If this collaboration is not successful, we may not be able to realize the market potential of such features and may not have rights to use any such developed advanced features.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2017, we entered into a know-how license agreement with Mayo Foundation for Medical Education and Research (“Mayo Clinic”), effective December 2, 2016, and as amended whereby we were granted an exclusive license, with the right to sublicense, certain know how and patent applications in the fields of signal processing, physiologic recording, electrophysiology recording, electrophysiology software and autonomics to develop, make and offer for sale. The agreement expires ten years from the effective date. In furtherance of this collaboration, we subsequently entered into four additional agreements whereby we were granted exclusive licenses, with the right to sublicense additional Mayo Clinic patents and know-how. Pursuant to these agreements, Mayo Clinic retains ownership of the licensed intellectual property and any developed intellectual property. Mayo Clinic also retains the right to prosecute and enforce the developed intellectual property. If our agreements with Mayo Clinic terminate, our access to technology and intellectual property licensed to us by Mayo Clinic may be restricted or terminate entirely, which may delay our continued development of such advanced features utilizing the Mayo Clinic’s technology or intellectual property or require us to stop development of those product candidates completely. Additional risks posed by this collaboration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Mayo Clinic may not properly obtain, maintain, enforce, or defend intellectual property or proprietary rights relating to our advanced features or may use our proprietary information in such a way as to expose us to potential litigation or other intellectual property related proceedings, including proceedings challenging the scope, ownership, validity, and enforceability of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Mayo Clinic may own or co-own intellectual property covering our advanced features that results from our collaboration with them, and in such cases, we may not have the exclusive right or any right to commercialize such intellectual property or such product candidates or research programs;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prevented from enforcing or defending any intellectual property that we contribute to or that arises out of the collaboration, if Mayo Clinic refuses to cooperate with such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collaboration with Mayo Clinic is made subject to the rights of the U.S. government to the extent that the technology covered by the licensed intellectual property was developed under a funding agreement between Mayo Clinic and the U.S. government. Additionally, to the extent there is any conflict between our agreements with Mayo Clinic and applicable laws or regulations, applicable laws and regulations will prevail. Some, and possibly all, of the developed intellectual property rights relating to our advanced features may have been developed in the course of research funded by the U.S. government. As a result, the U.S. government may have certain rights to intellectual property embodied in our current or future products pursuant to the Bayh-Dole Act of 1980. Government rights in certain inventions developed under a government-funded program include a nonexclusive, non-transferable, irrevocable worldwide license to use inventions for any governmental purpose. In addition, the U.S. government has the right to require us, or an assignee or exclusive licensee to such inventions, to grant licenses to any of these inventions to a third party if the U.S. government determines that adequate steps have not been taken to commercialize the invention, that government action is necessary to meet public health or safety needs, that government action is necessary to meet requirements for public use under federal regulations, or that the right to use or sell such inventions is exclusively licensed to an entity within the U.S. and substantially manufactured outside the U.S. without the U.S. government’s prior approval. Additionally, we may be restricted from granting exclusive licenses for the right to use or sell our inventions created pursuant to such agreements unless the licensee agrees to additional restrictions (e.g., manufacturing substantially all of the invention in the U.S.). The U.S. government also has the right to take title to these inventions if we fail to disclose the invention to the government and fail to file an application to register the intellectual property within specified time limits. In addition, the U.S. government may acquire title in any country in which a patent application is not filed within specified time limits. Additionally, certain inventions are subject to transfer restrictions during the term of these agreements and for a period, thereafter, including sales of products or components, transfers to foreign subsidiaries for the purpose of the relevant agreements, and transfers to certain foreign third parties. If any of our intellectual property becomes subject to any of the rights or remedies available to the U.S. government or third parties pursuant to the Bayh-Dole Act of 1980, this could impair the value of our intellectual property and could adversely affect our business. The U.S. government has not exercised any of these rights or provided us with any notice of its intent to exercise any of these rights with respect to any of the intellectual property licensed to us by Mayo Clinic. We are not aware of any instance in which the U.S. government has ever exercised any such rights with respect to any technologies or other intellectual property developed under funding agreements with the U.S. government.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comply with our obligations under our license agreements, we could lose the rights to intellectual property that is important to our business.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license agreements impose on us various development obligations, payment of royalties and fees based on achieving certain milestones as well as other obligations. If we fail to comply with our obligations under these agreements, the licensor may have the right to terminate the license. In addition, if the licensor fails to enforce its intellectual property, the licensed rights may not be adequately maintained. The termination of any license agreements or failure to adequately protect such license agreements could prevent us from commercializing our products or possible future products covered by the licensed intellectual property. Any of these events could materially adversely affect our business, prospects,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damages resulting from claims that we or our employees have wrongfully used or disclosed alleged trade secrets of their former employers.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may have been previously employed at other companies in the industry,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product(s), which would materially adversely affect our commercial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procedures and other requirements, and our patent protection could be reduced or eliminated in case of non-compliance with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annuity fees and various other governmental fees on patents and/or applications will be due to the relevant patent agencies in several stages over the lifetime of the patents and /or applications. The relevant patent agencies require compliance with a number of procedural, documentary, fee payment and other provisions during the patent application process. In many cases, an inadvertent lapse can be cured by payment of a late fee or by other means in accordance with the applicable rules. However, there are situations in which the failure to comply with the relevant requirements can result in the abandonment or lapse of the patent or patent application, resulting in partial or complete loss of patent rights in the relevant jurisdiction. In such an event, our competitors might be able to use our technologies and know-how which could have a material adverse effect on our business, prospects,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common stock may fluctuate significantly, which could result in substantial losses by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in general, and Nasdaq in particular, as well as biotechnology companies, have experienced extreme price and volume fluctuations that have often been unrelated or disproportionate to the operating performance of small companies. The market price of our common stock may fluctuate significantly in response to numerous factors, some of which are beyond our control, such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new products or product enhancements by us or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quarterly increases or decreases in revenue, gross margin or earnings, and changes in our business, operations or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strategic partnerships, out-licensing, in-licensing, joint ventures, acquisitions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or trends in the biotechnology industry;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other biotechnology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or domestic or international macroeconomic and geopolitical factors unrelated to our performance or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sale of our common stock by stockholders, including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or dividend policy, future issuances of securities, sales or distributions of large blocks of our common stock by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earnings estimates or recommendations by security analysts, if our common stock is covered by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 or departure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 related to intellectual property rights,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rules, regulations, or accounting practices and other dynamics;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and any corresponding price fluctuations may materially and adversely affect the market price of our common stock and result in substantial losses by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stock market in general, and the market for technology companies in particular, has experienced extreme price and volume fluctuations in the past. Continued market fluctuations could result in extreme volatility in the price of our common stock, which could cause a decline in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volatility of our common stock might be worse if the trading volume of our common stock is low. In the past, following periods of market volatility, stockholders have often instituted securities class action litigation. If we were involved in securities litigation, it could have a substantial cost and divert resources and attention of management from our business, even if we are successful. Future sales of our common stock could also reduce the market price of such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liquidity of our common stock is limited, not only in terms of the number of shares that can be bought and sold at a given price, but by delays in the timing of transactions and reduction in security analysts’ and the media’s coverage of us, if any. These factors may result in lower prices for our common stock than might otherwise be obtained and could also result in a larger spread between the bid and ask prices for our common stock. In addition, without a large float, our common stock is less liquid than the stock of companies with broader public ownership and, as a result, the trading prices of our common stock may be more volatile. In the absence of an active public trading market, an investor may be unable to liquidate its investment in our common stock. Trading of a relatively small volume of our common stock may have a greater impact on the trading price of our stock than would be the case if our public float were larger. We cannot predict the prices at which our common stock will trade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classified as a “penny stock;” the restrictions of the penny stock regulations of the SEC may result in less liquidity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regulations which define a “penny stock” to be any equity security that has a market price (as therein defined) of less than $5.00 per share or an exercise price of less than $5.00 per share, subject to certain exceptions. Unless exempt, the rules require the delivery, prior to any transaction involving a penny stock by a retail customer, of a disclosure schedule prepared by the SEC relating to the penny stock market. Disclosure is also required to be made about commissions payable to both the broker/dealer and the registered representative and current quotations for the securities. Finally, monthly statements are required to be sent disclosing recent price information for the penny stock held in the account and information on the limited market in penny stocks. The market price for shares of our common stock is currently below $5.00 and we do not satisfy any of the exceptions to the SEC’s definition of penny stock. Accordingly, our common stock is currently classified as a penny stock. As a result of the penny stock restrictions, brokers or potential investors may be reluctant to trade in our securities, which may result in less liquidity for our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Nasdaq could result in a delisting of our common stock, which could negatively impact the market price and liquidity of our common stock and our ability to access the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If we fail to satisfy the continued listing requirements of Nasdaq, such as the minimum bid price, shareholders’ equity, public float and other requirements, Nasdaq may take steps to delist our common stock. Such a delisting would have a negative effect on the price of our common stock, impair the ability to sell or purchase our common stock when persons wish to do so, and any delisting materially adversely affect our ability to raise capital or pursue strategic restructuring, refinancing or other transactions on acceptable terms, or at all. Delisting from the Nasdaq Capital Market could also have other negative results, including the potential loss of institutional investor interest and fewer business development opportunities. In the event of a delisting, we would attempt to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from the Nasdaq Capital Market could negatively impact the Company’s ability to raise additional financing to fund future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and we are not able to list our common stock on another national securities exchange, we expect our securities would be quoted on an over-the-counter market.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In addition, as a delisted security, our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employees and to raise capital. There can be no assurance that an active trading market for our common stock will develop or be sustained.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in the public market or other financings could cause our stock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the perception that these sales might occur or other financings, could depress the market price of our common stock and could impair our ability to raise capital through the sale of additional equity securities. A substantial majority of the outstanding shares of our common stock are freely tradable without restriction or further registration under the Securities Act unless these shares are owned or purchased by “affiliates” as that term is defined in Rule 144 under the Securities Act.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sell additional equity or debt securities to fund our operations, it may impose restrictions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funds to support our operations, we may sell additional equity or debt securities, which may impose restrictive covenants that adversely impact our business. The incurrence of indebtedness would result in increased fixed payment obligations and could also result in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expand our operations or otherwise capitalize on our business opportunities due to such restrictions, our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stockholders may experience substantial dilution as a result of the exercise of outstanding options or warrants to purchase shares of our common stock, upon conversion of our Series C preferred stock into shares of our common stock, or upon conversion of our exchangeable shares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we have outstanding options to purchase 2,921,000 shares of common stock, 6,483,375 restricted stock units and have reserved 18,107,690 shares of our common stock for further issuances pursuant to our 2023 Long-Term Incentive Plan. In addition, as of March 27, 2026, we may be required to issue 423,858 shares of our common stock for issuance upon conversion of outstanding convertible Series C preferred stock which includes accrued dividends as of March 27, 2026, and 1,647,885 shares of our common stock for issuance upon exercise of outstanding warrants. Furthermore, as of March 27, 2026, we had 83,420,765 Exchangeable Shares outstanding that are convertible into the same number of the Company’s common stock. Should all of these shares be issued, you would experience dilution in ownership of our common stock and the price of our common stock will decrease unless the value of our company increases by a corresponding amount.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significant stockholders and members of management collectively own a substantial portion of our outstanding voting power, which may limit the ability of other stockholders to influence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our directors, executive officers, and their respective affiliates beneficially owned, in the aggregate, approximately 24.28% of our outstanding common and exchangeable shares. In addition, certain of these holders possess vested or currently exercisable equity awards, which further increase their ability to influence matters submitted to a vote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concentration of ownership, these stockholders, acting individually or collectively, may be able to significantly influence, or effectively control, the outcome of matters requiring stockholder approval, including the election of directors, approval of mergers or other significant corporate transactions, amendments to our organizational documents, and other actions requiring stockholder approval. This concentration of ownership may also discourage, delay, or prevent a change in control of our company, even if such a change in control would be beneficial to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interests of these significant stockholders may differ from, or conflict with, the interests of other stockholders. For example, these stockholders may have differing investment horizons, tax positions, liquidity preferences, or business relationships that could result in decisions that are not aligned with the interests of other stockholders. As a result, other stockholders may have limited ability to influence the outcome of corporate actions, and the trading price of our securities could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our Amended and Restated Certificate of Incorporation and By-laws contain anti-takeover provisions that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 Issuances of preferred stock, depending upon the rights, preferences and designations of the preferred stock, may have the effect of delaying, deterring or preventing a change of control, even if that change of control might benefit our stockholders. In addition, we are subject to Section 203 of the Delaware General Corporation Law. Section 203 generally prohibits a public Delaware corporation from engaging in a “business combination” with an “interested stockholder” for a period of three years after the date of the transaction in which the person became an interested stockholder, unless (i) prior to the date of the transaction, the board of directors of the corporation approved either the business combination or the transaction which resulted in the stockholder becoming an interested stockholder; (ii) 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 (iii) 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Series C Preferred Stock contains covenants that could limit our financing options and liquidity position, which would limit our ability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in the certificate of designation for our Series C Preferred Stock impose operating and financial restrictions on us. These restrictions prohibit or limit our ability to, among other things:</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liens on assets;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 repurchase or otherwise acquire more than a de minimis number of shares of capital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cash dividends to our stockholders;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8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transactions with affiliates.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the Company was in compliance with the operating and financial covenants applicable to the Series C Preferred Stock, including covenants restricting the incurrence of additional indebtedness, the granting of liens on assets, the repurchase or redemption of capital stock beyond permitted amounts, the payment of cash dividends, and the engagement in certain affiliate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limit our ability to obtain financing, withstand downturns in our business or take advantage of business opportunities. Moreover, debt financing we may seek may contain terms that include more restrictive covenants, may require repayment on an accelerated schedule or may impose other obligations that limit our ability to grow our business, acquire needed assets, or take other actions we might otherwise consider appropriate or desirable.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certificate of designation for our Series C Preferred Stock requires us to redeem shares of our Series C Preferred Stock, at each holder’s option and for an amount greater than their stated value, upon the occurrence of certain events, including our being subject to a judgment of greater than $100,000 or our initiation of bankruptcy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holders of our Series C Preferred Stock are entitled to receive a dividend, which may be increased if we do not comply with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C Preferred Stock are entitled to a 9% annual dividend on the $1,000 per share stated value of our Series C Preferred Stock, which is payable in cash or, subject to the satisfaction of certain conditions, in pay-in-kind shares. The dividend may be increased to a 18% annual dividend if we fail to comply with certain covenants, including our being subject to a judgment of greater than $100,000 or our initiation of bankruptcy proceedings. As a result of the payment of dividends related to our Series C Preferred Stock, we may be obligated to pay significant sums of money or issue a significant number of shares of our common stock, which could negatively affect our operations or result in the dilution of the holders of our common stock,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C Preferred Stock contain anti-dilution provisions that may result in the reduction of the conversion prices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C Preferred Stock contain anti-dilution provisions, which provisions require the lowering of the conversion price to the purchase price of future offerings. If in the future we issue securities for less than the conversion of our Series C Preferred Stock then in effect, we will be required to further reduce the relevant conversion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C Preferred Stock prohibit us from paying dividends in the future on our common stock. As a result, any return on investment may be limited to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C Preferred Stock prohibit us from paying dividends in the future on our common stock, absent consent from the holders representing a super-majority of the outstanding shares of our Series C Preferred Stock and a certain investor. Because we will likely not pay dividends, our common stock may be less valuable because a return on an investment in our common stock will only occur if our stock price appreciates.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liability of our directors and officers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of the Delaware General Corporation Law and our Amended and Restated Certificate of Incorporation and By-laws limit the liability of our directors to us and our stockholders for monetary damages for breaches of their fiduciary duties, with certain exceptions, and for other specified acts or omissions of such persons. In addition, the applicable provisions of the Delaware General Corporation Law and of our Amended and Restated Certificate of Incorporation and By-laws provide for indemnification of such persons under certain circumstances. In the event we are required to indemnify any of our directors or any other person, our financial strength may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publicity or unfavorable media coverage could damage our reputation and harm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marketplace perceives our products as not offering the benefits which we believe they offer, we may receive negative publicity. This publicity may result in litigation and increased regulation and governmental review. If we were to receive such negative publicity or unfavorable media attention, whether warranted or unwarranted, our ability to market our products would be adversely affected. We may be required to change our products and services and become subject to increased regulatory burdens, and we may be required to pay large judgments or fines and incur significant legal expenses. Any combination of these factors could further increase our cost of doing business and adversely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We currently do not have new research coverage by securities and industry analysts. If we have coverage in the future and any analyst who covers us downgrades our stock or publishes inaccurate or unfavorable research about our business, our stock price would likely decline; or if any analyst ceases coverage of us or fails to publish reports on us regularly, demand for our stock could decrease, which could cause our stock price and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financial reporting and other requirements that place significant demands on our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and other obligations under the Exchange Act, including the requirements of Section 404 of the Sarbanes-Oxley Act of 2002. Section 404 requires us to conduct an annual management assessment of the effectiveness of our internal controls over financial reporting. These reporting and other obligations place significant demands on our management, administrative, operational, internal audit and accounting resources. Any failure to maintain effective internal controls could have a material adverse effect on our business, operating results and stock price. Moreover, effective internal control is necessary for us to provide reliable financial reports and prevent fraud. If we cannot provide reliable financial reports or prevent fraud, we may not be able to manage our business as effectively as we would if an effective control environment existed, and our business and reputation with investors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1B </w:t>
      </w:r>
      <w:r>
        <w:rPr>
          <w:rFonts w:ascii="Times New Roman;Times;Serif" w:hAnsi="Times New Roman;Times;Serif"/>
          <w:b w:val="false"/>
          <w:i w:val="false"/>
          <w:caps w:val="false"/>
          <w:smallCaps w:val="false"/>
          <w:sz w:val="20"/>
        </w:rPr>
        <w:t xml:space="preserve">– </w:t>
      </w:r>
      <w:bookmarkStart w:id="37" w:name="a_004"/>
      <w:bookmarkEnd w:id="37"/>
      <w:r>
        <w:rPr>
          <w:rFonts w:ascii="Times New Roman;Times;Serif" w:hAnsi="Times New Roman;Times;Serif"/>
          <w:b/>
          <w:i w:val="false"/>
          <w:caps w:val="false"/>
          <w:smallCaps w:val="false"/>
          <w:sz w:val="20"/>
        </w:rPr>
        <w:t>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1C </w:t>
      </w:r>
      <w:r>
        <w:rPr>
          <w:rFonts w:ascii="Times New Roman;Times;Serif" w:hAnsi="Times New Roman;Times;Serif"/>
          <w:b w:val="false"/>
          <w:i w:val="false"/>
          <w:caps w:val="false"/>
          <w:smallCaps w:val="false"/>
          <w:sz w:val="20"/>
        </w:rPr>
        <w:t xml:space="preserve">– </w:t>
      </w:r>
      <w:bookmarkStart w:id="38" w:name="a_005"/>
      <w:bookmarkEnd w:id="38"/>
      <w:r>
        <w:rPr>
          <w:rFonts w:ascii="Times New Roman;Times;Serif" w:hAnsi="Times New Roman;Times;Serif"/>
          <w:b/>
          <w:i w:val="false"/>
          <w:caps w:val="false"/>
          <w:smallCaps w:val="false"/>
          <w:sz w:val="20"/>
        </w:rPr>
        <w:t>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 Management and Strategy</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39" w:name="xdx_989_ecyd--CybersecurityRiskManagemen"/>
      <w:bookmarkEnd w:id="39"/>
      <w:r>
        <w:rPr>
          <w:rFonts w:ascii="Times New Roman;Times;Serif" w:hAnsi="Times New Roman;Times;Serif"/>
          <w:b w:val="false"/>
          <w:i w:val="false"/>
          <w:caps w:val="false"/>
          <w:smallCaps w:val="false"/>
          <w:sz w:val="20"/>
        </w:rPr>
        <w:t>We maintain a cybersecurity risk management program designed to identify, assess, manage, mitigate, and respond to cybersecurity threats to the information systems we own or use. Our information systems are predominantly cloud-based and delivered as software-as-a-service, and we rely on third-party providers for system availability, security, and data backup. Our cybersecurity program is supported by an outsourced information technology service provider, which manages user account administration, security monitoring, and general IT maintenance, in coordination with senior management.</w:t>
      </w:r>
    </w:p>
    <w:p>
      <w:pPr>
        <w:pStyle w:val="TextBody"/>
        <w:shd w:fill="FFFFFF" w:val="clear"/>
        <w:bidi w:val="0"/>
        <w:spacing w:before="0" w:after="0"/>
        <w:ind w:left="0" w:right="0" w:hanging="0"/>
        <w:jc w:val="both"/>
        <w:rPr>
          <w:caps w:val="false"/>
          <w:smallCaps w:val="false"/>
        </w:rPr>
      </w:pPr>
      <w:bookmarkStart w:id="40" w:name="xdx_C08_gBFCRMPFAIAMT-PFV_z4lfABsfVGpf"/>
      <w:bookmarkEnd w:id="40"/>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 considerations are addressed through management’s oversight of information technology operations and periodic risk assessment activities. Cybersecurity risk assessments are performed at least annually, often in connection with renewing the Company’s cybersecurity insurance coverage and may be discussed with the Board of Directors as circumstances warrant.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both"/>
        <w:rPr>
          <w:caps w:val="false"/>
          <w:smallCaps w:val="false"/>
        </w:rPr>
      </w:pPr>
      <w:bookmarkStart w:id="41" w:name="xdx_C03_gBFCRMPFAIAMT-PFV_z641Nn9FiK9l"/>
      <w:bookmarkEnd w:id="4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2" w:name="xdx_C0A_gBFCRMPFAIAMT-PFV_zOi4SOOD48e"/>
      <w:bookmarkEnd w:id="4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Processes for Assessing, Identifying, and Managing Material Cybersecurity Risks and Incidents</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cybersecurity program includes processes designed to assess, </w:t>
      </w:r>
      <w:bookmarkStart w:id="43" w:name="xdx_903_ecyd--CybersecurityRiskManagemen"/>
      <w:bookmarkStart w:id="44" w:name="xdx_904_ecyd--CybersecurityRiskManagemen"/>
      <w:bookmarkEnd w:id="43"/>
      <w:bookmarkEnd w:id="44"/>
      <w:r>
        <w:rPr>
          <w:rFonts w:ascii="Times New Roman;Times;Serif" w:hAnsi="Times New Roman;Times;Serif"/>
          <w:b w:val="false"/>
          <w:i w:val="false"/>
          <w:caps w:val="false"/>
          <w:smallCaps w:val="false"/>
          <w:sz w:val="20"/>
        </w:rPr>
        <w:t>identify, and manage cybersecurity events, including events that could be material. These processes include: (i) monitoring and detection activities using a combination of manual oversight and automated tools and third-party services; (ii) procedures to assess the nature, scope, and potential impact of identified events; (iii) escalation protocols to communicate relevant matters to senior management and, as appropriate, the Board of Directors; and (iv) incident response procedures intended to support containment, eradication, recovery, and communications to appropriate stakeholders. The Company maintains an incident response plan as part of its overall IT policies and conducts periodic testing of its incident response processes through activities such as simulated phishing exercises and tabletop-style testing.</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incident escalation, if management determines that a cybersecurity incident is material, the incident would be escalated to executive management and the Board and, if required, the Company would make timely public disclosure in accordance with applicable regulatory requirements and the Company’s disclosure policies.</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Integration with Overall Risk Management</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 management is integrated into the Company’s overall risk management activities through management’s ongoing oversight of IT operations, periodic cybersecurity risk assessments (including those performed in connection with cybersecurity insurance renewals), and consideration of cybersecurity risks in connection with changes in the Company’s operating environment and reliance on third-party systems.</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Third Parties and Third-Party Risk Management</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w:t>
      </w:r>
      <w:bookmarkStart w:id="45" w:name="xdx_90C_ecyd--CybersecurityRiskManagemen"/>
      <w:bookmarkEnd w:id="45"/>
      <w:r>
        <w:rPr>
          <w:rFonts w:ascii="Times New Roman;Times;Serif" w:hAnsi="Times New Roman;Times;Serif"/>
          <w:b w:val="false"/>
          <w:i w:val="false"/>
          <w:caps w:val="false"/>
          <w:smallCaps w:val="false"/>
          <w:sz w:val="20"/>
        </w:rPr>
        <w:t>third-party service providers to support key functions, including cloud-based enterprise systems and other hosted platforms used in our operations. We perform due diligence in selecting critical service providers and review available SOC reports or other security attestations where applicable. While we have not implemented a formal third-party IT vendor risk management framework, management relies on contractual commitments, available third-party attestations, and oversight by our outsourced IT service provider to help identify and manage cybersecurity risks associated with these providers.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46" w:name="xdx_C0F_gBFCRMPFAIAMT-PFV_zOKlNSVQghq5"/>
      <w:bookmarkEnd w:id="46"/>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bookmarkStart w:id="47" w:name="xdx_982_ecyd--CybersecurityRiskBoardOfDi"/>
      <w:bookmarkEnd w:id="47"/>
      <w:r>
        <w:rPr>
          <w:rFonts w:ascii="Times New Roman;Times;Serif" w:hAnsi="Times New Roman;Times;Serif"/>
          <w:b w:val="false"/>
          <w:i w:val="false"/>
          <w:caps w:val="false"/>
          <w:smallCaps w:val="false"/>
          <w:sz w:val="20"/>
          <w:u w:val="single"/>
        </w:rPr>
        <w:t>Governance — Board Oversight</w:t>
      </w:r>
    </w:p>
    <w:p>
      <w:pPr>
        <w:pStyle w:val="TextBody"/>
        <w:bidi w:val="0"/>
        <w:jc w:val="both"/>
        <w:rPr>
          <w:caps w:val="false"/>
          <w:smallCaps w:val="false"/>
        </w:rPr>
      </w:pPr>
      <w:bookmarkStart w:id="48" w:name="xdx_C00_gBFCRBODOTB-ZRSNHDO_zGmiLlpG5rE5"/>
      <w:bookmarkEnd w:id="4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49" w:name="xdx_908_ecyd--CybersecurityRiskManagemen"/>
      <w:bookmarkEnd w:id="49"/>
      <w:r>
        <w:rPr>
          <w:rFonts w:ascii="Times New Roman;Times;Serif" w:hAnsi="Times New Roman;Times;Serif"/>
          <w:b w:val="false"/>
          <w:i w:val="false"/>
          <w:caps w:val="false"/>
          <w:smallCaps w:val="false"/>
          <w:sz w:val="20"/>
        </w:rPr>
        <w:t xml:space="preserve">The </w:t>
      </w:r>
      <w:bookmarkStart w:id="50" w:name="xdx_90E_ecyd--CybersecurityRiskManagemen"/>
      <w:bookmarkEnd w:id="50"/>
      <w:r>
        <w:rPr>
          <w:rFonts w:ascii="Times New Roman;Times;Serif" w:hAnsi="Times New Roman;Times;Serif"/>
          <w:b w:val="false"/>
          <w:i w:val="false"/>
          <w:caps w:val="false"/>
          <w:smallCaps w:val="false"/>
          <w:sz w:val="20"/>
        </w:rPr>
        <w:t>Board of Directors provides oversight of cybersecurity risk as part of its broader risk oversight responsibilities. The Board has not designated a separate committee or subcommittee specifically responsible for cybersecurity oversight. Management may provide updates to the Board regarding cybersecurity risk assessments, significant cybersecurity risk areas, and incident matters as circumstances warrant, including following significant incidents or material changes in the Company’s risk profile.</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Management’s Role and Relevant Expertise</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management is responsible for oversight of the Company’s cybersecurity risk management program and coordination with third-party service providers supporting information technology and cybersecurity functions. The Chief Administrative Officer supports cybersecurity oversight through administration of key IT-related processes, including coordinating access provisioning requests and employee onboarding acknowledgements of cybersecurity and acceptable use policies, and working with the outsourced IT service provider and senior management on security-related matters.</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Material Impacts of Cybersecurity Risks and Incidents</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51" w:name="xdx_900_ecyd--CybersecurityRiskMateriall"/>
      <w:bookmarkEnd w:id="51"/>
      <w:r>
        <w:rPr>
          <w:rFonts w:ascii="Times New Roman;Times;Serif" w:hAnsi="Times New Roman;Times;Serif"/>
          <w:b w:val="false"/>
          <w:i w:val="false"/>
          <w:caps w:val="false"/>
          <w:smallCaps w:val="false"/>
          <w:sz w:val="20"/>
        </w:rPr>
        <w:t>not identified any cybersecurity incidents that have materially affected, or are reasonably likely to materially affect, the Company’s business strategy, results of operations, or financial condition.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both"/>
        <w:rPr>
          <w:caps w:val="false"/>
          <w:smallCaps w:val="false"/>
        </w:rPr>
      </w:pPr>
      <w:bookmarkStart w:id="52" w:name="xdx_C06_gBFCRBODOTB-ZRSNHDO_z7gGE6qboD8h"/>
      <w:bookmarkEnd w:id="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 w:name="a_006"/>
      <w:bookmarkEnd w:id="53"/>
      <w:r>
        <w:rPr>
          <w:rFonts w:ascii="Times New Roman;Times;Serif" w:hAnsi="Times New Roman;Times;Serif"/>
          <w:b/>
          <w:i w:val="false"/>
          <w:caps w:val="false"/>
          <w:smallCaps w:val="false"/>
          <w:sz w:val="20"/>
        </w:rPr>
        <w:t xml:space="preserve">ITEM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our principal executive office at 2431 Aloma Avenue Suite 243, Winter Park, Florida 32792, consisting of office space used for corporate administration and operations (approximately 3,000 square feet, leased on a month-to-month basis) and believe that our current facilities are sufficient for our current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 w:name="a_007"/>
      <w:bookmarkEnd w:id="54"/>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Richard Coglon filed a Notice of Civil Claim in the Supreme Court of British Columbia against the Company, its wholly owned subsidiary Streamex Exchange, and certain current officers and directors. The complaint alleges, among other things, breach of contract, inducing breach of contract, unjust enrichment, and civil conspiracy in connection with alleged oral and implied agreements relating to equity interests in Streamex Exchange prior to the Company’s acquisition of Streamex Exchange.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plaintiff seeks, among other relief, specific performance, equitable compensation, damages, and the imposition of a constructive trust. The Company disputes the claims and intends to defend the matter vigorously. As of December 31, 2025, no liability has been recorded in the consolidated financial statements related to this matter, as management, after consultation with legal counsel, believes that a loss is not probable. The matter is in a preliminary stage and, as a result, the Company is unable to reasonably estimate the possible loss or range of loss, if any, associated with this matter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our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proceedings in which any of our directors, officers or affiliates or any registered or beneficial shareholder of more than 5% of our common stock is an adverse party or has a material interest adverse to our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 w:name="a_008"/>
      <w:bookmarkEnd w:id="55"/>
      <w:r>
        <w:rPr>
          <w:rFonts w:ascii="Times New Roman;Times;Serif" w:hAnsi="Times New Roman;Times;Serif"/>
          <w:b/>
          <w:i w:val="false"/>
          <w:caps w:val="false"/>
          <w:smallCaps w:val="false"/>
          <w:sz w:val="20"/>
        </w:rPr>
        <w:t xml:space="preserve">ITEM 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a_009"/>
      <w:bookmarkEnd w:id="56"/>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MARKET FOR REGISTRANT</w:t>
      </w:r>
      <w:r>
        <w:rPr>
          <w:rFonts w:ascii="Times New Roman;Times;Serif" w:hAnsi="Times New Roman;Times;Serif"/>
          <w:b w:val="false"/>
          <w:i w:val="false"/>
          <w:caps w:val="false"/>
          <w:smallCaps w:val="false"/>
          <w:sz w:val="20"/>
        </w:rPr>
        <w:t>’</w:t>
      </w:r>
      <w:bookmarkStart w:id="57" w:name="a_010"/>
      <w:bookmarkEnd w:id="57"/>
      <w:r>
        <w:rPr>
          <w:rFonts w:ascii="Times New Roman;Times;Serif" w:hAnsi="Times New Roman;Times;Serif"/>
          <w:b/>
          <w:i w:val="false"/>
          <w:caps w:val="false"/>
          <w:smallCaps w:val="false"/>
          <w:sz w:val="20"/>
        </w:rPr>
        <w: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for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“STEX” (effective September 2025, following our name change to Streamex Corp.). Prior to that, our common stock traded under the symbol “BSGM”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there were approximately 336 holders of our common stock, as determined by counting our record holders and the number of participants reflected in a security position listing provided to us by the Depository Trust Company. Because the “DTC participants” are brokers and other institutions holding shares of our common stock on behalf of their customers, we do not know the actual number of unique shareholders represented by these record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do not anticipate paying any cash dividends in the foreseeable future but intend to retain our capital resources for reinvestment 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 of Unregistered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did not issue or sell any unregistered securities, except as previously reported in a Current Report on Form 8-K or a Quarterly Report on Form 10-Q.</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6 </w:t>
      </w:r>
      <w:r>
        <w:rPr>
          <w:rFonts w:ascii="Times New Roman;Times;Serif" w:hAnsi="Times New Roman;Times;Serif"/>
          <w:b w:val="false"/>
          <w:i w:val="false"/>
          <w:caps w:val="false"/>
          <w:smallCaps w:val="false"/>
          <w:sz w:val="20"/>
        </w:rPr>
        <w:t xml:space="preserve">– </w:t>
      </w:r>
      <w:bookmarkStart w:id="58" w:name="a_011"/>
      <w:bookmarkEnd w:id="58"/>
      <w:r>
        <w:rPr>
          <w:rFonts w:ascii="Times New Roman;Times;Serif" w:hAnsi="Times New Roman;Times;Serif"/>
          <w:b/>
          <w:i w:val="false"/>
          <w:caps w:val="false"/>
          <w:smallCaps w:val="false"/>
          <w:sz w:val="20"/>
        </w:rPr>
        <w:t xml:space="preserve">RESERVED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 w:name="a_012"/>
      <w:bookmarkEnd w:id="59"/>
      <w:r>
        <w:rPr>
          <w:rFonts w:ascii="Times New Roman;Times;Serif" w:hAnsi="Times New Roman;Times;Serif"/>
          <w:b/>
          <w:i w:val="false"/>
          <w:caps w:val="false"/>
          <w:smallCaps w:val="false"/>
          <w:sz w:val="20"/>
        </w:rPr>
        <w:t>ITEM 7.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Discussion and Analysis of Financial Condition and Results of Operations includes a number of forward-looking statements that reflect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current views with respect to future events and financial performance. You can identify these statements by forward-looking words such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 similar words. Those statements include statements regarding the intent, belief or current expectations of us and members of our management team as well as the assumptions on which such statements are based. Prospective investors are cautioned that any such forward-looking statements are not guarantees of future performance and involve risk and uncertainties, and that actual results may differ materially from those contemplated by such forward-looking statements. For a discussion of risks that could cause actual results to differ materially, see “Item 1A. Risk Factors” and “Item 7A. Quantitative and Qualitative Disclosures About Market Risk”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Readers are urged to carefully review and consider the various disclosures made by us in this report and in our other reports filed with the Securities and Exchange Commission. Important factors currently known to Management could cause actual results to differ materially from those in forward-looking statements. We undertake no obligation to update or revise forward-looking statements to reflect changed assumptions, the occurrence of unanticipated events or changes in the future operating results over time. We believe that our assumptions are based upon reasonable data derived from and known about our business and operations. No assurances are made that actual results of operations or the results of our future activities will not differ materially from our assumptions. Factors that could cause differences include, but are not limited to, expected market demand for our products, fluctuations in pricing for materials, and competition.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its acquisition of Streamex Exchange Corporation (“Streamex Exchange”). The consolidated financial statements for the year ended December 31, 2025 include the results of the Company and its consolidated subsidiaries, including Streamex Exchange, from the acquisition date.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acquisition, the Company expanded beyond its historical focus as a medical device technology company to a diversified technology platform centered on tokenized finance and the digitization of real-world assets (“RWAs”). Through Streamex Exchange, the Company has developed and operates institutional grade technology platform that supports the tokenization of real-world assets, including gold, and other physical commodity asset interests. The Company operates as an infrastructure provider, enabling the issuance, trading, and backend infrastructure for digital tokens backed by tangible commodities, beginning with gold. The Company continues to operate its legacy medical device technology business, which focuses on healthcare technology innovation through the Company’s PURE EP™ Platform (“PURE 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strategic alternatives for its legacy majority-owned subsidiaries ViralClear Pharmaceuticals, Inc. (“ViralClear”) and BioSig AI Sciences, Inc. (“BioSig AI”). ViralClear’s business is currently dormant and ViralClear’s business objectives are being evaluated. BioSig AI’s business operations have currently been placed on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developed and commercialized advanced digital signal processing solutions for electrophysiology. PURE EP™ is designed to deliver real-time, high-fidelity cardiac signal data to electrophysiologists during ablation procedures for the treatment of cardiovascular arrhythmias. In recent periods, the Company has shifted its biomedical strategy toward research and development of proprietary software algorithms intended to enhance clinical decision-making and procedural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Exchange has developed and operates a blockchain-based platform designed to facilitate the compliant tokenization and exchange of RWAs. As of December 31, 2025, Streamex Exchange remained in the development stage and had not generated revenue. Subsequent to year end, in 2026, the Company launched GLDY and began actively accepting subscriptions. Future revenue generation will depend on platform maturity, regulatory developments, market conditions, adoption and issuance volumes, and the Company’s ability to monetize GLDY and additional tokenized products through fee-based services.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operated as a single reportable segment.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Results of Operations (000</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results of operations will fluctuate for the foreseeable future due to several factors, such as the progress of our research and development and commercialization efforts, the timing and outcome of future regulatory submissions, and other macroeconomic and operational uncertainties. Due to these uncertainties, accurate predictions of future operations are difficult or impossible to make.</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Year Ended December 31, 2025 Compared to Year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narrative sets forth for the periods indicated certain items of our results of operations, expressed in thousands of dollars. The financial information and the discussion below should be read in conjunction with the financial statements and notes contained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Revenue for the years ended December 31, 2025 and 2024 was $0 and $40, respectively, and consisted of recognized service revenue. Historically, the Company’s revenue has been generated from sales of the PURE EP™ Platform and related support services; however, commercial activity was not significant in 2024 and did not recur in 2025.</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Research and development expenses for the year ended December 31, 2025 were $31 a decrease of $801, or 96%, from $832 for the year ended December 31, 2024. The decrease primarily reflects lower internal personnel-related costs and reduced external research, clinical, and design spending during 2025 as the Company focused resources on strategic transaction and integration activities. Management expects research and development activity to increase in future periods as resources are reallocated to planned initiatives.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comprised of the following: </w:t>
      </w:r>
    </w:p>
    <w:p>
      <w:pPr>
        <w:pStyle w:val="TextBody"/>
        <w:bidi w:val="0"/>
        <w:spacing w:before="0" w:after="0"/>
        <w:ind w:left="0" w:right="0" w:firstLine="583"/>
        <w:jc w:val="both"/>
        <w:rPr>
          <w:caps w:val="false"/>
          <w:smallCaps w:val="false"/>
        </w:rPr>
      </w:pPr>
      <w:r>
        <w:rPr>
          <w:caps w:val="false"/>
          <w:smallCaps w:val="false"/>
        </w:rPr>
        <w:t> </w:t>
      </w:r>
    </w:p>
    <w:tbl>
      <w:tblPr>
        <w:tblW w:w="8548" w:type="dxa"/>
        <w:jc w:val="left"/>
        <w:tblInd w:w="0" w:type="dxa"/>
        <w:tblLayout w:type="fixed"/>
        <w:tblCellMar>
          <w:top w:w="0" w:type="dxa"/>
          <w:left w:w="0" w:type="dxa"/>
          <w:bottom w:w="0" w:type="dxa"/>
          <w:right w:w="0" w:type="dxa"/>
        </w:tblCellMar>
      </w:tblPr>
      <w:tblGrid>
        <w:gridCol w:w="4385"/>
        <w:gridCol w:w="60"/>
        <w:gridCol w:w="683"/>
        <w:gridCol w:w="1271"/>
        <w:gridCol w:w="60"/>
        <w:gridCol w:w="60"/>
        <w:gridCol w:w="526"/>
        <w:gridCol w:w="1428"/>
        <w:gridCol w:w="75"/>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Salaries and equity compensation</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p>
        </w:tc>
        <w:tc>
          <w:tcPr>
            <w:tcW w:w="1428" w:type="dxa"/>
            <w:tcBorders/>
            <w:shd w:fill="CCEEFF" w:val="clear"/>
            <w:vAlign w:val="center"/>
          </w:tcPr>
          <w:p>
            <w:pPr>
              <w:pStyle w:val="TableContents"/>
              <w:bidi w:val="0"/>
              <w:spacing w:before="0" w:after="283"/>
              <w:jc w:val="right"/>
              <w:rPr/>
            </w:pPr>
            <w:r>
              <w:rPr/>
              <w:t>551</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Consulting expenses</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120</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Research and clinical studies and design work</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85</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Regulatory</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Travel, supplies, other</w:t>
            </w:r>
          </w:p>
        </w:tc>
        <w:tc>
          <w:tcPr>
            <w:tcW w:w="60" w:type="dxa"/>
            <w:tcBorders/>
            <w:shd w:fill="CCEEFF" w:val="clear"/>
            <w:vAlign w:val="center"/>
          </w:tcPr>
          <w:p>
            <w:pPr>
              <w:pStyle w:val="TableContents"/>
              <w:bidi w:val="0"/>
              <w:spacing w:before="0" w:after="283"/>
              <w:jc w:val="left"/>
              <w:rPr/>
            </w:pPr>
            <w:r>
              <w:rPr/>
              <w:t> </w:t>
            </w:r>
          </w:p>
        </w:tc>
        <w:tc>
          <w:tcPr>
            <w:tcW w:w="6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double" w:sz="6"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pPr>
            <w:r>
              <w:rPr/>
              <w:t>832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consist primarily of compensation and benefits (including stock-based compensation), professional fees (including audit, accounting, legal, and consulting), insurance, director fees, rent and facilities, travel, investor relations, and other general corporate costs. General and administrative expenses for the year ended December 31, 2025 were $67.5 million, an increase of $55.9 million, or 481%, from $11.6 million incurred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primarily driven by non-cash stock-based compensation expense recognized during 2025 of approximately $57.1 million compared to $7.0 million in 2024. The 2025 stock-based compensation expense included approximately $52.3 million related to shares and equity awards issued to employees, officers, directors, consultants, and other service providers. As part of the Streamex Exchange acquisition, in December 2025 we issued an aggregate of 824,052 shares of common stock to two third-party advisors as finder’s fees, with a total fair value of approximately $4.8 million, which was included in stock-based compensation expense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year-over-year increase in stock-based compensation expense was attributable to both a significantly higher volume of equity awards issued during 2025 and a higher fair value per shares at the time of issuance compared to 2024, which resulted in higher grant-date fair values recognized as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the impact of stock-based compensation, general and administrative expenses increased year-over-year primarily due to higher professional fees and other public company costs associated with the Streamex Exchange acquisition and integration activities, including transaction-related legal, accounting, and advisory services.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Impairment of Long Term Assets.</w:t>
      </w:r>
      <w:r>
        <w:rPr>
          <w:rFonts w:ascii="Times New Roman;Times;Serif" w:hAnsi="Times New Roman;Times;Serif"/>
          <w:b w:val="false"/>
          <w:i w:val="false"/>
          <w:caps w:val="false"/>
          <w:smallCaps w:val="false"/>
          <w:sz w:val="20"/>
        </w:rPr>
        <w:t xml:space="preserve"> For the year ended December 31, 2025, the Company performed a qualitative assessment of its long-lived assets to evaluate whether events or changes in circumstances existed that would indicate that the carrying amounts of such assets may not be recoverable. Based on the combined effect of this indicator analysis, management concluded that no impairment indicators were present and, accordingly, that an impairment test was not required for the year ended December 31, 2025. During the year ended December 31, 2024, the Company re-assessed its carrying amounts of certain property and equipment due to reduced manufacturing of its commercial products and determined that these carrying amounts exceeded the estimated undiscounted future cash flows. Accordingly, the Company recorded a $253 impairment charge to current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 Expense.</w:t>
      </w:r>
      <w:r>
        <w:rPr>
          <w:rFonts w:ascii="Times New Roman;Times;Serif" w:hAnsi="Times New Roman;Times;Serif"/>
          <w:b w:val="false"/>
          <w:i w:val="false"/>
          <w:caps w:val="false"/>
          <w:smallCaps w:val="false"/>
          <w:sz w:val="20"/>
        </w:rPr>
        <w:t xml:space="preserve"> Depreciation and amortization expense for the year ended December 31, 2025 totaled $3.5 million, an increase of $3.3 million, or 1780%, over the expense of $188 incurred in the year ended December 31, 2024. The increase was primarily attributable to amortization of identifiable intangible assets recognized in connection with the Streamex Exchange acquisition.</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(Expense), Net.</w:t>
      </w:r>
      <w:r>
        <w:rPr>
          <w:rFonts w:ascii="Times New Roman;Times;Serif" w:hAnsi="Times New Roman;Times;Serif"/>
          <w:b w:val="false"/>
          <w:i w:val="false"/>
          <w:caps w:val="false"/>
          <w:smallCaps w:val="false"/>
          <w:sz w:val="20"/>
        </w:rPr>
        <w:t xml:space="preserve"> Other income (expense), net for the year ended December 31, 2025 totaled $(392.9) million, a decrease in other income of $395.4 million, from $2.5 million of other income in the year ended December 31, 2024. The change was driven primarily by a non-cash loss of $389.7 million from the change in fair value of a derivative liability associated with Exchangeable Shares prior to their reclassification to equity on November 4, 2025. The year-over-year change also reflects a loss on warrant settlement of $8.0 million, a loss from changes in fair value of marketable securities of $0.8 million, and higher net interest expense of $1.6 million, partially offset by a non-cash gain of $7.0 million from changes in fair value of embedded derivative liabilities associated with the YA II PN, Ltd. (“Yorkville”) secured convertible debentures. In 2024, results included a gain on negotiated settlements of liabilities with vendors, which was significantly lower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 Dividend</w:t>
      </w:r>
      <w:r>
        <w:rPr>
          <w:rFonts w:ascii="Times New Roman;Times;Serif" w:hAnsi="Times New Roman;Times;Serif"/>
          <w:b w:val="false"/>
          <w:i w:val="false"/>
          <w:caps w:val="false"/>
          <w:smallCaps w:val="false"/>
          <w:sz w:val="20"/>
        </w:rPr>
        <w:t>. Preferred stock dividend for the years ended December 31, 2025 and 2024 totaled $11 and $9, respectively. Preferred stock dividends are related to the dividends accrued on our Series C Preferred Stock issued during the period from 2013 through 2015. In addition, the Series C Preferred stock conversion rate reset from $2.50 to $0.3197 during the year ended December 31, 2024, and therefore we recorded a noncash deemed preferred stock dividend of $174 in the prior year.</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Income taxes (benefit). </w:t>
      </w:r>
      <w:r>
        <w:rPr>
          <w:rFonts w:ascii="Times New Roman;Times;Serif" w:hAnsi="Times New Roman;Times;Serif"/>
          <w:b w:val="false"/>
          <w:i w:val="false"/>
          <w:caps w:val="false"/>
          <w:smallCaps w:val="false"/>
          <w:sz w:val="20"/>
        </w:rPr>
        <w:t>For the year ended December 31, 2025, the Company recorded an income tax benefit of $1.3 million, compared to $0 in the prior-year. The benefit primarily reflects a decrease in the deferred tax liability recorded in connection with the Streamex Exchange acquisition. As of December 31, 2025, a deferred tax liability of $11.4 million remained recorded on the Consolidated Balance Sheets. No comparable benefit was recorded in 2024 as the acquisition and related deferred tax effects did not exist.</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 Attributable to Streamex Corp. Common Stockholders</w:t>
      </w:r>
      <w:r>
        <w:rPr>
          <w:rFonts w:ascii="Times New Roman;Times;Serif" w:hAnsi="Times New Roman;Times;Serif"/>
          <w:b w:val="false"/>
          <w:i w:val="false"/>
          <w:caps w:val="false"/>
          <w:smallCaps w:val="false"/>
          <w:sz w:val="20"/>
        </w:rPr>
        <w:t>. As a result of the foregoing, net loss attributable to Streamex Corp. common stockholders for the year ended December 31, 2025 was $462.8 million, compared to a net loss of $10.5 million for the year ended December 31, 2024, after giving effect to amounts attributable to non-controlling interests. The change was driven primarily by a non-cash loss of $389.7 million from the change in fair value of a derivative liability associated with Exchangeable Shares prior to their reclassification to equity on November 4, 2025 and an increase in non-cash stock-based compensation and common stock issued for services charges totaling approximately $57.1 million, which were concentrated in the fourth quarter of 2025.</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working capital of approximately $29.1 million and cash of $20.3 million. For the year ended December 31, 2025, we used $10.4 million in operating activities, used $24.3 million in investing activities, and provided $54.9 million from financing activities, primarily from equity offerings and secured convertible debenture issuances, net of issuance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products, including the Streamex Exchange’s digital asset infrastructure and PURE EP™ Platform initiatives, achieve sustained commercial success. Although the PURE EP™ Platform is commercially available, revenues to date have not been material, and the timing and extent of future revenues remain uncertain. Subsequent to year end, the Company launched GLDY and began accepting subscriptions; however, revenues to date have not been material. We expect to incur additional costs related to software development, regulatory compliance, and strategic partnerships prior to the commencement of any material revenue-generating activities. The timing and extent of any future revenues will depend on, among other things, continued investor adoption of GLDY, completion of development milestones, regulatory considerations, market conditions, and the successful commercialization of the Streamex Exchange platform and related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the Company strengthened its liquidity position through financing transactions and asset monetization activities and eliminated its outstanding secured debt. In January 2026, the Company completed an underwritten public offering generating net proceeds of approximately $37.2 million. The Company also received approximately $10.1 million from the sale of marketable securities and approximately $26.4 million from the sale of restricted gold assets previously classified as held for sale. In February 2026, following a partial conversion of the secured convertible debentures, the Company repaid the remaining outstanding balance for an aggregate cash payment of approximately $38.9 million, and all related security interests were released. Based on our existing cash, together with proceeds received subsequent to year end, we believe we will have sufficient liquidity to meet our anticipated working capital requirements, capital expenditures, and other liquidity needs for at least the next twelve months from the issuance date of the consolidated financial statements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Capital Strategy and Uses of Cash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strategy focuses on maintaining sufficient liquidity to support ongoing operations, product development, and strategic initiatives, while preserving balance sheet flexibility. We may evaluate additional capital sources from time to time, including:</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or private equity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or licensing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or non-dilutive funding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financing, where feasible</w:t>
            </w:r>
          </w:p>
        </w:tc>
      </w:tr>
    </w:tbl>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previously implemented cost-saving measures to reduce cash burn, we have increased spending to accelerate development of the Streamex Exchange platform and related initiatives. These efforts are intended to support long-term growth but will increase near-term cash requirements. There can be no assurance that any future financing, if pursued, would be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financing may include the issuance of equity or debt securities, credit facilities, or other arrangements. Any such financing could result in dilution to existing stockholders or the issuance of securities with rights senior to those of our common stock. Market volatility and macroeconomic conditions may also adversely affect our ability to raise capital on acceptable terms. These financing arrangements are part of management’s broader strategy to address liquidity needs and support commercialization, research and development, and infrastructure expansion. However, there can be no assurance that financing will be available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additional capital were required and not obtained on acceptable terms, we may be required to delay or reduce certain research and development programs, scale back commercialization efforts, or enter into strategic arrangements that could require us to relinquish rights to certain technologies or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forecast includes assumptions regarding the timing of Streamex Exchange’s development and commercialization activities, planned expenditures, and cost containment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Secured Convertible Debentures and Liquidity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completed two closings under our secured convertible debenture financing with Yorkville, issuing an aggregate principal amount of $50.0 million in two tranches. Subsequent to year end, we implemented a liquidity plan to eliminate this secured debt, including (i) an underwritten public offering completed in January 2026 that generated $40.25 million of gross proceeds (before underwriting discounts and offering expenses) and (ii) the February 2026 settlement of the Yorkville debentures, which included a partial conversion and a cash payoff of the remaining amounts.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we delivered an irrevocable optional prepayment notice to Yorkville. On February 6, 2026, Yorkville converted $15.0 million of principal at $4.00 per share, resulting in the issuance of 3,750,000 shares, and we paid an aggregate cash amount of $38.9 million to settle the remaining obligations (comprised of $35.0 million principal, $3.5 million prepayment premium, and approximately $403 of accrued interest), after which the related security interests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 standby equity purchase agreement (“SEPA”) with Yorkville that provided the Company with the right, but not the obligation, to sell shares of common stock during the commitment period. We terminated the SEPA effective January 29, 2026, and did not sell any shares under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financing and the subsequent settlement affected our liquidity and results of operations primarily through (i) cash proceeds and cash uses related to issuance and settlement, (ii) interest expense (including non-cash amortization of discounts and issuance costs), and (iii) non-cash income statement volatility from fair value accounting for embedded derivative features, each as discussed in the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repurchases for cash upon Fundamental Transaction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outstanding common stock purchase warrants contained provisions that, upon the occurrence of a board-approved “Fundamental Transaction” (as defined in the applicable warrant agreements), provided holders with the right to require cash settlement based on the warrants’ Black-Scholes value. In connection with the Streamex Exchange transaction, holders of the affected warrants elected cash settlement, and the Company repurchased warrants for cash during the fourth quarter of 2025. These cash payments in the aggregate of approximately $8.0 million reduced liquidity during the period and are reflected in our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2025, we entered into a securities purchase agreement with certain accredited investors (the “Investors”), pursuant to which we sold an aggregate of 758,514 shares of our common stock and warrants to purchase up to an aggregate of 758,514 shares of our common stock. The shares of common stock were sold at a purchase price of $1.07974 per share and the warrants have an exercise price of $0.95474 per share. The warrants became exercisable six months after the date of issuance and will expire three and one-half years following the date of issuance. Aggregate gross proceeds from the offering were $818.</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August 2025 Public Offering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2025, the Company completed a public offering of 3,852,149 shares of its common stock at a public offering price of $3.90 per share, generating gross proceeds of approximately $15.0 million before deducting underwriting discounts, commissions, and estimated offering expenses. Net proceeds from the offering were approximately $13.62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Sales Agreement</w:t>
      </w:r>
    </w:p>
    <w:p>
      <w:pPr>
        <w:pStyle w:val="TextBody"/>
        <w:bidi w:val="0"/>
        <w:spacing w:before="0" w:after="0"/>
        <w:ind w:left="0" w:right="0" w:firstLine="583"/>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sold 4,403,166 shares pursuant to the Sales Agreement at an average offering price of $0.91 per share for aggregate gross proceeds of $4.0 million, or $3.9 million after deducting fees equal to $136.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January 2026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closed an underwritten public offering of 11,666,667 shares of its common stock at $3.00 per share. On January 27, 2026, the underwriters fully exercised their over-allotment option to purchase an additional 1,750,000 shares at the public offering price, less underwriting discounts and commissions. Aggregate gross proceeds to the Company from the offering (including the over-allotment option), before deducting underwriting discounts and commissions and other estimated offering expenses, were $40.25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Capital Requirements and Risks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expenses related to:</w:t>
      </w:r>
    </w:p>
    <w:p>
      <w:pPr>
        <w:pStyle w:val="TextBody"/>
        <w:bidi w:val="0"/>
        <w:spacing w:before="0" w:after="0"/>
        <w:ind w:left="0" w:right="0" w:firstLine="583"/>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85"/>
        <w:gridCol w:w="876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business infrastructure and public company compliance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and scaling of Streamex Exchange’s tokenization platform and digital asset infrastructure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real-world asset (RWA) tokenization solutions, including commodities-on-chain initiatives</w:t>
            </w:r>
          </w:p>
        </w:tc>
      </w:tr>
    </w:tbl>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several factors, including:</w:t>
      </w:r>
    </w:p>
    <w:p>
      <w:pPr>
        <w:pStyle w:val="TextBody"/>
        <w:bidi w:val="0"/>
        <w:spacing w:before="0" w:after="0"/>
        <w:ind w:left="0" w:right="0" w:firstLine="583"/>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185"/>
        <w:gridCol w:w="966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and results of our R&amp;D programs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outcome of regulatory approvals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intellectual property protection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commercialization success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financing and strategic partnerships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Streamex Exchange’s growth strategy within the global commodities and digital asset markets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and personnel investments required to support Streamex Exchange’s platform scalability and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of America (“U.S. GAAP”), which require management to make estimates and assumptions that affect the reported amounts of assets, liabilities, revenues, expenses, and related disclosures. These estimates are based on historical experience, current conditions, and other factors that management believes to be reasonable under the circumstances. Actual results may differ materially from these estimates, and such differences could have a significant impact on our financial condition or results of operations.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consolidated financial statements that require estimation but are not deemed critical, as defined above.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accounting estimates are considered critical: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Allocation (PPA) for Streamex Exchange Acquisition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Nature of Estimate:</w:t>
      </w:r>
      <w:r>
        <w:rPr>
          <w:rFonts w:ascii="Times New Roman;Times;Serif" w:hAnsi="Times New Roman;Times;Serif"/>
          <w:b w:val="false"/>
          <w:i w:val="false"/>
          <w:caps w:val="false"/>
          <w:smallCaps w:val="false"/>
          <w:sz w:val="20"/>
        </w:rPr>
        <w:t xml:space="preserve"> The allocation of purchase consideration to identifiable assets and liabilities involves significant judgment, particularly for intangible assets and goodwill.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Methodology:</w:t>
      </w:r>
      <w:r>
        <w:rPr>
          <w:rFonts w:ascii="Times New Roman;Times;Serif" w:hAnsi="Times New Roman;Times;Serif"/>
          <w:b w:val="false"/>
          <w:i w:val="false"/>
          <w:caps w:val="false"/>
          <w:smallCaps w:val="false"/>
          <w:sz w:val="20"/>
        </w:rPr>
        <w:t xml:space="preserve"> We applied Level 3 valuation techniques under ASC 805, including the relief-from-royalty method for trade name, multi-period excess earnings method for developed technology. Other identifiable intangible assets were valued using cost-based approaches where appropriate.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Estimation Uncertainty:</w:t>
      </w:r>
      <w:r>
        <w:rPr>
          <w:rFonts w:ascii="Times New Roman;Times;Serif" w:hAnsi="Times New Roman;Times;Serif"/>
          <w:b w:val="false"/>
          <w:i w:val="false"/>
          <w:caps w:val="false"/>
          <w:smallCaps w:val="false"/>
          <w:sz w:val="20"/>
        </w:rPr>
        <w:t xml:space="preserve"> These valuations rely on unobservable inputs such as royalty rates (1%), discount rates (40%), revenue average growth rate of 53% through fiscal year 2030 and 3% thereafter, and projected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Historical Accuracy and Changes:</w:t>
      </w:r>
      <w:r>
        <w:rPr>
          <w:rFonts w:ascii="Times New Roman;Times;Serif" w:hAnsi="Times New Roman;Times;Serif"/>
          <w:b w:val="false"/>
          <w:i w:val="false"/>
          <w:caps w:val="false"/>
          <w:smallCaps w:val="false"/>
          <w:sz w:val="20"/>
        </w:rPr>
        <w:t xml:space="preserve"> The PPA remains preliminary as of December 31, 2025. The purchase price allocation is preliminary primarily because the Company has not yet finalized the valuation of certain identifiable intangible assets and the related deferred income tax effects, which could result in changes to the amounts assigned to intangible assets, deferred tax liabilities, and goodwill during the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Drivers of Variability:</w:t>
      </w:r>
      <w:r>
        <w:rPr>
          <w:rFonts w:ascii="Times New Roman;Times;Serif" w:hAnsi="Times New Roman;Times;Serif"/>
          <w:b w:val="false"/>
          <w:i w:val="false"/>
          <w:caps w:val="false"/>
          <w:smallCaps w:val="false"/>
          <w:sz w:val="20"/>
        </w:rPr>
        <w:t xml:space="preserve"> Finalization of financial forecasts, market comparables, and tax amortization benefits may materially affect the allocation.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Future Sensitivity:</w:t>
      </w:r>
      <w:r>
        <w:rPr>
          <w:rFonts w:ascii="Times New Roman;Times;Serif" w:hAnsi="Times New Roman;Times;Serif"/>
          <w:b w:val="false"/>
          <w:i w:val="false"/>
          <w:caps w:val="false"/>
          <w:smallCaps w:val="false"/>
          <w:sz w:val="20"/>
        </w:rPr>
        <w:t xml:space="preserve"> Adjustments to intangible asset values or recognition of contingent liabilities could materially impact goodwill and amortization expense.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 w:name="a_013"/>
      <w:bookmarkEnd w:id="60"/>
      <w:r>
        <w:rPr>
          <w:rFonts w:ascii="Times New Roman;Times;Serif" w:hAnsi="Times New Roman;Times;Serif"/>
          <w:b/>
          <w:i w:val="false"/>
          <w:caps w:val="false"/>
          <w:smallCaps w:val="false"/>
          <w:sz w:val="20"/>
        </w:rPr>
        <w:t xml:space="preserve">ITEM 7A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a_014"/>
      <w:bookmarkEnd w:id="61"/>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9830"/>
        <w:gridCol w:w="305"/>
      </w:tblGrid>
      <w:tr>
        <w:trPr/>
        <w:tc>
          <w:tcPr>
            <w:tcW w:w="983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(CBIZ CPAs P.C. PCAOB ID </w:t>
            </w:r>
            <w:bookmarkStart w:id="62" w:name="xdx_904_edei--AuditorFirmId_c20250101__2"/>
            <w:bookmarkEnd w:id="62"/>
            <w:r>
              <w:rPr>
                <w:rFonts w:ascii="Times New Roman;Times;Serif" w:hAnsi="Times New Roman;Times;Serif"/>
                <w:b w:val="false"/>
                <w:i w:val="false"/>
                <w:caps w:val="false"/>
                <w:smallCaps w:val="false"/>
                <w:sz w:val="20"/>
              </w:rPr>
              <w:t>199)</w:t>
            </w:r>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30" w:type="dxa"/>
            <w:tcBorders/>
            <w:shd w:fill="FFFF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(Marcum LLP PCAOB ID </w:t>
            </w:r>
            <w:bookmarkStart w:id="63" w:name="xdx_90C_edei--AuditorFirmId_c20240101__2"/>
            <w:bookmarkEnd w:id="63"/>
            <w:r>
              <w:rPr>
                <w:rFonts w:ascii="Times New Roman;Times;Serif" w:hAnsi="Times New Roman;Times;Serif"/>
                <w:b w:val="false"/>
                <w:i w:val="false"/>
                <w:caps w:val="false"/>
                <w:smallCaps w:val="false"/>
                <w:sz w:val="20"/>
              </w:rPr>
              <w:t>688)</w:t>
            </w:r>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3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30"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and 2024</w:t>
              </w:r>
            </w:hyperlink>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83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Consolidated Statements of Changes in Stockholders’ Equity (Deficit) for the Years Ended December 31, 2025, and 2024</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830"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830"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b w:val="false"/>
                  <w:i w:val="false"/>
                  <w:caps w:val="false"/>
                  <w:smallCaps w:val="false"/>
                  <w:sz w:val="20"/>
                </w:rPr>
                <w:t>Notes to Consolidated Financial Statements</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 w:name="F_002"/>
      <w:bookmarkEnd w:id="6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 w:name="xdx_98D_edei--AuditorOpinionTextBlock_c2"/>
      <w:bookmarkEnd w:id="65"/>
      <w:r>
        <w:rPr>
          <w:rFonts w:ascii="Times New Roman;Times;Serif" w:hAnsi="Times New Roman;Times;Serif"/>
          <w:b w:val="false"/>
          <w:i w:val="false"/>
          <w:caps w:val="false"/>
          <w:smallCaps w:val="false"/>
          <w:sz w:val="20"/>
        </w:rPr>
        <w:t>We have audited the accompanying consolidated balance sheet of Streamex Corp. (the “Company”) as of December 31, 2025, the related consolidated statements of operations and comprehensive loss, changes in stockholders’ equity (deficit)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Valuation of newly acquired intangible assets and purchase consideration transferred related to a business acquisition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11 to the financial statements, the Company completed a business acquisition with an aggregate acquisition price totaling approximately $105.5 million, which included intangible assets of approximately of $47.5 million, during the year ended December 31, 2025. The Company accounts for business combinations using the acquisition method, which requires recognition of assets acquired and liabilities assumed at their respective fair values at the date of acquisition. The fair values of intangible assets acquired are typically estimated using an income approach, which is based on the present value of future discounted cash flows. Management applied significant judgment in estimating the fair value of the consideration and intangible assets acquired, which involved the use of significant estimates and assumptions with respect to the rate of future revenue growth, profitability of the acquired business and the discount rate, among other factors.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the fair value measurement of the purchase consideration and intangible assets acquired related to the acquisition is a critical audit matter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significant judgment by management, including the use of specialists, when estimating the fair values;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high degree of auditor judgment and subjectivity in performing procedures relating to the fair value measurements;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significant audit effort in evaluating the reasonableness of the significant assumptions; and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audit effort involved the use of professionals with specialized skill and knowledge.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financial statements. These procedures included identifying and evaluating the design of controls relating to the acquisition accounting, including controls over management’s valuation of the intangible assets acquired and purchase consideration, and controls over the development of the valuation models, as well as the significant assumptions. These procedures also included, among others: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Read the purchase agreement;</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Evaluated and concluded on the adequacy of the Company’s accounting and disclosures in the financial statements related to the business combination;</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Tested management’s process for estimating the fair values of the purchase consideration and intangible assets acquired, which included evaluating the appropriateness of the valuation method, testing the completeness and accuracy of data provided by management, and evaluating the reasonableness of significant assumptions; and</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Professionals with specialized skill and knowledge were used to assist in the evaluation of the appropriateness of the discounted cash flow models, and evaluating the significant assumptions for the fair value of the purchase consideration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6" w:name="xdx_90C_edei--AuditorName_c20250101__202"/>
      <w:bookmarkEnd w:id="66"/>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 (such date takes into account the acquisition of the attest business of Marcum LLP by CBIZ CPAs P.C. effective November 1, 2024).</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7" w:name="xdx_90F_edei--AuditorLocation_c20250101_"/>
      <w:bookmarkEnd w:id="67"/>
      <w:r>
        <w:rPr>
          <w:rFonts w:ascii="Times New Roman;Times;Serif" w:hAnsi="Times New Roman;Times;Serif"/>
          <w:b w:val="false"/>
          <w:i w:val="false"/>
          <w:caps w:val="false"/>
          <w:smallCaps w:val="false"/>
          <w:sz w:val="20"/>
        </w:rPr>
        <w:t>Marlton,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8" w:name="F_001"/>
      <w:bookmarkEnd w:id="6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Streamex Corp. (f/k/a BioSig Technologies, Inc.) (the “Company”) as of December 31, 2024, the related consolidated statements of operations and comprehensive loss, changes in stockholders’ equity (deficit),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9" w:name="xdx_908_edei--AuditorName_c20240101__202"/>
      <w:bookmarkEnd w:id="69"/>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2020-2025.</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0" w:name="xdx_909_edei--AuditorLocation_c20240101_"/>
      <w:bookmarkEnd w:id="70"/>
      <w:r>
        <w:rPr>
          <w:rFonts w:ascii="Times New Roman;Times;Serif" w:hAnsi="Times New Roman;Times;Serif"/>
          <w:b w:val="false"/>
          <w:i w:val="false"/>
          <w:caps w:val="false"/>
          <w:smallCaps w:val="false"/>
          <w:sz w:val="20"/>
        </w:rPr>
        <w:t>Marlton, New Jersey</w:t>
        <w:br/>
        <w:t>April 15,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1" w:name="F_003"/>
      <w:bookmarkEnd w:id="71"/>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2" w:name="xdx_30E_111_pn3n3_zprg7nKvRSl2"/>
      <w:bookmarkStart w:id="73" w:name="xdx_30E_111_pn3n3_zprg7nKvRSl2"/>
      <w:bookmarkEnd w:id="73"/>
    </w:p>
    <w:tbl>
      <w:tblPr>
        <w:tblW w:w="10205" w:type="dxa"/>
        <w:jc w:val="left"/>
        <w:tblInd w:w="0" w:type="dxa"/>
        <w:tblLayout w:type="fixed"/>
        <w:tblCellMar>
          <w:top w:w="0" w:type="dxa"/>
          <w:left w:w="0" w:type="dxa"/>
          <w:bottom w:w="0" w:type="dxa"/>
          <w:right w:w="0" w:type="dxa"/>
        </w:tblCellMar>
      </w:tblPr>
      <w:tblGrid>
        <w:gridCol w:w="7576"/>
        <w:gridCol w:w="60"/>
        <w:gridCol w:w="158"/>
        <w:gridCol w:w="992"/>
        <w:gridCol w:w="95"/>
        <w:gridCol w:w="60"/>
        <w:gridCol w:w="158"/>
        <w:gridCol w:w="992"/>
        <w:gridCol w:w="114"/>
      </w:tblGrid>
      <w:tr>
        <w:trPr/>
        <w:tc>
          <w:tcPr>
            <w:tcW w:w="75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4" w:name="xdx_49F_20251231_zkdXIl3wWcHe"/>
            <w:bookmarkEnd w:id="74"/>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5" w:name="xdx_49F_20241231_z4GcrdXnz0te"/>
            <w:bookmarkEnd w:id="75"/>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114" w:type="dxa"/>
            <w:tcBorders/>
            <w:vAlign w:val="center"/>
          </w:tcPr>
          <w:p>
            <w:pPr>
              <w:pStyle w:val="TableContents"/>
              <w:bidi w:val="0"/>
              <w:spacing w:before="0" w:after="283"/>
              <w:jc w:val="left"/>
              <w:rPr>
                <w:caps w:val="false"/>
                <w:smallCaps w:val="false"/>
              </w:rPr>
            </w:pPr>
            <w:r>
              <w:rPr>
                <w:caps w:val="false"/>
                <w:smallCaps w:val="false"/>
              </w:rPr>
              <w:t> </w:t>
            </w:r>
            <w:bookmarkStart w:id="76" w:name="xdx_403_eus-gaap--AssetsAbstract_iB_zTj9"/>
            <w:bookmarkEnd w:id="76"/>
          </w:p>
        </w:tc>
      </w:tr>
      <w:tr>
        <w:trPr/>
        <w:tc>
          <w:tcPr>
            <w:tcW w:w="7576"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7" w:name="xdx_406_eus-gaap--AssetsCurrentAbstract_"/>
            <w:bookmarkEnd w:id="77"/>
          </w:p>
        </w:tc>
      </w:tr>
      <w:tr>
        <w:trPr/>
        <w:tc>
          <w:tcPr>
            <w:tcW w:w="757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78" w:name="xdx_40C_eus-gaap--Cash_i02I_maACzsxb_zqP"/>
            <w:bookmarkEnd w:id="78"/>
          </w:p>
        </w:tc>
      </w:tr>
      <w:tr>
        <w:trPr/>
        <w:tc>
          <w:tcPr>
            <w:tcW w:w="757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20,316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142</w:t>
            </w:r>
          </w:p>
        </w:tc>
        <w:tc>
          <w:tcPr>
            <w:tcW w:w="114" w:type="dxa"/>
            <w:tcBorders/>
            <w:shd w:fill="CCEEFF" w:val="clear"/>
            <w:vAlign w:val="center"/>
          </w:tcPr>
          <w:p>
            <w:pPr>
              <w:pStyle w:val="TableContents"/>
              <w:bidi w:val="0"/>
              <w:spacing w:before="0" w:after="283"/>
              <w:jc w:val="left"/>
              <w:rPr/>
            </w:pPr>
            <w:r>
              <w:rPr/>
              <w:t> </w:t>
            </w:r>
            <w:bookmarkStart w:id="79" w:name="xdx_401_eus-gaap--AccountsReceivableNetC"/>
            <w:bookmarkEnd w:id="79"/>
          </w:p>
        </w:tc>
      </w:tr>
      <w:tr>
        <w:trPr/>
        <w:tc>
          <w:tcPr>
            <w:tcW w:w="757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109</w:t>
            </w:r>
          </w:p>
        </w:tc>
        <w:tc>
          <w:tcPr>
            <w:tcW w:w="114" w:type="dxa"/>
            <w:tcBorders/>
            <w:shd w:fill="FFFFFF" w:val="clear"/>
            <w:vAlign w:val="center"/>
          </w:tcPr>
          <w:p>
            <w:pPr>
              <w:pStyle w:val="TableContents"/>
              <w:bidi w:val="0"/>
              <w:spacing w:before="0" w:after="283"/>
              <w:jc w:val="left"/>
              <w:rPr/>
            </w:pPr>
            <w:r>
              <w:rPr/>
              <w:t> </w:t>
            </w:r>
            <w:bookmarkStart w:id="80" w:name="xdx_40B_ecustom--SalesTaxReceivable_i02I"/>
            <w:bookmarkEnd w:id="80"/>
          </w:p>
        </w:tc>
      </w:tr>
      <w:tr>
        <w:trPr/>
        <w:tc>
          <w:tcPr>
            <w:tcW w:w="7576"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81" w:name="xdx_40B_eus-gaap--OtherReceivablesNetCur"/>
            <w:bookmarkEnd w:id="81"/>
          </w:p>
        </w:tc>
      </w:tr>
      <w:tr>
        <w:trPr/>
        <w:tc>
          <w:tcPr>
            <w:tcW w:w="7576"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82" w:name="xdx_404_eus-gaap--SalesTypeLeaseLeaseRec"/>
            <w:bookmarkEnd w:id="82"/>
          </w:p>
        </w:tc>
      </w:tr>
      <w:tr>
        <w:trPr/>
        <w:tc>
          <w:tcPr>
            <w:tcW w:w="7576" w:type="dxa"/>
            <w:tcBorders/>
            <w:shd w:fill="CCEEFF" w:val="clear"/>
            <w:vAlign w:val="center"/>
          </w:tcPr>
          <w:p>
            <w:pPr>
              <w:pStyle w:val="TableContents"/>
              <w:bidi w:val="0"/>
              <w:spacing w:before="0" w:after="283"/>
              <w:jc w:val="left"/>
              <w:rPr/>
            </w:pPr>
            <w:r>
              <w:rPr/>
              <w:t>Net investment in leases, short term</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13</w:t>
            </w:r>
          </w:p>
        </w:tc>
        <w:tc>
          <w:tcPr>
            <w:tcW w:w="114" w:type="dxa"/>
            <w:tcBorders/>
            <w:shd w:fill="CCEEFF" w:val="clear"/>
            <w:vAlign w:val="center"/>
          </w:tcPr>
          <w:p>
            <w:pPr>
              <w:pStyle w:val="TableContents"/>
              <w:bidi w:val="0"/>
              <w:spacing w:before="0" w:after="283"/>
              <w:jc w:val="left"/>
              <w:rPr/>
            </w:pPr>
            <w:r>
              <w:rPr/>
              <w:t> </w:t>
            </w:r>
            <w:bookmarkStart w:id="83" w:name="xdx_403_eus-gaap--MarketableSecurities_i"/>
            <w:bookmarkEnd w:id="83"/>
          </w:p>
        </w:tc>
      </w:tr>
      <w:tr>
        <w:trPr/>
        <w:tc>
          <w:tcPr>
            <w:tcW w:w="7576"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9,706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84" w:name="xdx_406_eus-gaap--OtherAssetsCurrent_i02"/>
            <w:bookmarkEnd w:id="84"/>
          </w:p>
        </w:tc>
      </w:tr>
      <w:tr>
        <w:trPr/>
        <w:tc>
          <w:tcPr>
            <w:tcW w:w="7576" w:type="dxa"/>
            <w:tcBorders/>
            <w:shd w:fill="CCEEFF" w:val="clear"/>
            <w:vAlign w:val="center"/>
          </w:tcPr>
          <w:p>
            <w:pPr>
              <w:pStyle w:val="TableContents"/>
              <w:bidi w:val="0"/>
              <w:spacing w:before="0" w:after="283"/>
              <w:jc w:val="left"/>
              <w:rPr/>
            </w:pPr>
            <w:r>
              <w:rPr/>
              <w:t>Other assets held for sale – restricted gold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23,472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85" w:name="xdx_40C_eus-gaap--OtherAssetsCurrent_i02"/>
            <w:bookmarkEnd w:id="85"/>
          </w:p>
        </w:tc>
      </w:tr>
      <w:tr>
        <w:trPr/>
        <w:tc>
          <w:tcPr>
            <w:tcW w:w="7576" w:type="dxa"/>
            <w:tcBorders/>
            <w:shd w:fill="FFFFFF" w:val="clear"/>
            <w:vAlign w:val="center"/>
          </w:tcPr>
          <w:p>
            <w:pPr>
              <w:pStyle w:val="TableContents"/>
              <w:bidi w:val="0"/>
              <w:spacing w:before="0" w:after="283"/>
              <w:jc w:val="left"/>
              <w:rPr/>
            </w:pPr>
            <w:r>
              <w:rPr/>
              <w:t>Other assets held for sale –gold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86" w:name="xdx_407_eus-gaap--PrepaidExpenseCurrent_"/>
            <w:bookmarkEnd w:id="86"/>
          </w:p>
        </w:tc>
      </w:tr>
      <w:tr>
        <w:trPr/>
        <w:tc>
          <w:tcPr>
            <w:tcW w:w="7576"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17,339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124</w:t>
            </w:r>
          </w:p>
        </w:tc>
        <w:tc>
          <w:tcPr>
            <w:tcW w:w="114" w:type="dxa"/>
            <w:tcBorders/>
            <w:shd w:fill="CCEEFF" w:val="clear"/>
            <w:vAlign w:val="center"/>
          </w:tcPr>
          <w:p>
            <w:pPr>
              <w:pStyle w:val="TableContents"/>
              <w:bidi w:val="0"/>
              <w:spacing w:before="0" w:after="283"/>
              <w:jc w:val="left"/>
              <w:rPr/>
            </w:pPr>
            <w:r>
              <w:rPr/>
              <w:t> </w:t>
            </w:r>
            <w:bookmarkStart w:id="87" w:name="xdx_40C_eus-gaap--AssetsCurrent_i02TI_mt"/>
            <w:bookmarkEnd w:id="87"/>
          </w:p>
        </w:tc>
      </w:tr>
      <w:tr>
        <w:trPr/>
        <w:tc>
          <w:tcPr>
            <w:tcW w:w="7576"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b/>
              </w:rPr>
            </w:pPr>
            <w:r>
              <w:rPr>
                <w:b/>
              </w:rPr>
              <w:t>71,895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b/>
              </w:rPr>
            </w:pPr>
            <w:r>
              <w:rPr>
                <w:b/>
              </w:rPr>
              <w:t>388</w:t>
            </w:r>
          </w:p>
        </w:tc>
        <w:tc>
          <w:tcPr>
            <w:tcW w:w="114" w:type="dxa"/>
            <w:tcBorders/>
            <w:shd w:fill="FFFFFF" w:val="clear"/>
            <w:vAlign w:val="center"/>
          </w:tcPr>
          <w:p>
            <w:pPr>
              <w:pStyle w:val="TableContents"/>
              <w:bidi w:val="0"/>
              <w:spacing w:before="0" w:after="283"/>
              <w:jc w:val="left"/>
              <w:rPr/>
            </w:pPr>
            <w:r>
              <w:rPr/>
              <w:t> </w:t>
            </w:r>
            <w:bookmarkStart w:id="88" w:name="xdx_406_eus-gaap--AssetsNoncurrentAbstra"/>
            <w:bookmarkEnd w:id="88"/>
          </w:p>
        </w:tc>
      </w:tr>
      <w:tr>
        <w:trPr/>
        <w:tc>
          <w:tcPr>
            <w:tcW w:w="7576"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89" w:name="xdx_407_eus-gaap--PropertyPlantAndEquipm"/>
            <w:bookmarkEnd w:id="89"/>
          </w:p>
        </w:tc>
      </w:tr>
      <w:tr>
        <w:trPr/>
        <w:tc>
          <w:tcPr>
            <w:tcW w:w="757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85</w:t>
            </w:r>
          </w:p>
        </w:tc>
        <w:tc>
          <w:tcPr>
            <w:tcW w:w="114" w:type="dxa"/>
            <w:tcBorders/>
            <w:shd w:fill="FFFFFF" w:val="clear"/>
            <w:vAlign w:val="center"/>
          </w:tcPr>
          <w:p>
            <w:pPr>
              <w:pStyle w:val="TableContents"/>
              <w:bidi w:val="0"/>
              <w:spacing w:before="0" w:after="283"/>
              <w:jc w:val="left"/>
              <w:rPr/>
            </w:pPr>
            <w:r>
              <w:rPr/>
              <w:t> </w:t>
            </w:r>
            <w:bookmarkStart w:id="90" w:name="xdx_40F_eus-gaap--OperatingLeaseRightOfU"/>
            <w:bookmarkEnd w:id="90"/>
          </w:p>
        </w:tc>
      </w:tr>
      <w:tr>
        <w:trPr/>
        <w:tc>
          <w:tcPr>
            <w:tcW w:w="7576" w:type="dxa"/>
            <w:tcBorders/>
            <w:shd w:fill="CCEEFF" w:val="clear"/>
            <w:vAlign w:val="center"/>
          </w:tcPr>
          <w:p>
            <w:pPr>
              <w:pStyle w:val="TableContents"/>
              <w:bidi w:val="0"/>
              <w:spacing w:before="0" w:after="283"/>
              <w:jc w:val="left"/>
              <w:rPr/>
            </w:pPr>
            <w:r>
              <w:rPr/>
              <w:t>Right-to-use assets,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96</w:t>
            </w:r>
          </w:p>
        </w:tc>
        <w:tc>
          <w:tcPr>
            <w:tcW w:w="114" w:type="dxa"/>
            <w:tcBorders/>
            <w:shd w:fill="CCEEFF" w:val="clear"/>
            <w:vAlign w:val="center"/>
          </w:tcPr>
          <w:p>
            <w:pPr>
              <w:pStyle w:val="TableContents"/>
              <w:bidi w:val="0"/>
              <w:spacing w:before="0" w:after="283"/>
              <w:jc w:val="left"/>
              <w:rPr/>
            </w:pPr>
            <w:r>
              <w:rPr/>
              <w:t> </w:t>
            </w:r>
            <w:bookmarkStart w:id="91" w:name="xdx_402_eus-gaap--SalesTypeAndDirectFina"/>
            <w:bookmarkEnd w:id="91"/>
          </w:p>
        </w:tc>
      </w:tr>
      <w:tr>
        <w:trPr/>
        <w:tc>
          <w:tcPr>
            <w:tcW w:w="7576" w:type="dxa"/>
            <w:tcBorders/>
            <w:shd w:fill="FFFFFF" w:val="clear"/>
            <w:vAlign w:val="center"/>
          </w:tcPr>
          <w:p>
            <w:pPr>
              <w:pStyle w:val="TableContents"/>
              <w:bidi w:val="0"/>
              <w:spacing w:before="0" w:after="283"/>
              <w:jc w:val="left"/>
              <w:rPr/>
            </w:pPr>
            <w:r>
              <w:rPr/>
              <w:t>Net investment in leases, long term</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4</w:t>
            </w:r>
          </w:p>
        </w:tc>
        <w:tc>
          <w:tcPr>
            <w:tcW w:w="114" w:type="dxa"/>
            <w:tcBorders/>
            <w:shd w:fill="FFFFFF" w:val="clear"/>
            <w:vAlign w:val="center"/>
          </w:tcPr>
          <w:p>
            <w:pPr>
              <w:pStyle w:val="TableContents"/>
              <w:bidi w:val="0"/>
              <w:spacing w:before="0" w:after="283"/>
              <w:jc w:val="left"/>
              <w:rPr/>
            </w:pPr>
            <w:r>
              <w:rPr/>
              <w:t> </w:t>
            </w:r>
            <w:bookmarkStart w:id="92" w:name="xdx_403_eus-gaap--IntangibleAssetsNetExc"/>
            <w:bookmarkEnd w:id="92"/>
          </w:p>
        </w:tc>
      </w:tr>
      <w:tr>
        <w:trPr/>
        <w:tc>
          <w:tcPr>
            <w:tcW w:w="757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44,639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269</w:t>
            </w:r>
          </w:p>
        </w:tc>
        <w:tc>
          <w:tcPr>
            <w:tcW w:w="114" w:type="dxa"/>
            <w:tcBorders/>
            <w:shd w:fill="CCEEFF" w:val="clear"/>
            <w:vAlign w:val="center"/>
          </w:tcPr>
          <w:p>
            <w:pPr>
              <w:pStyle w:val="TableContents"/>
              <w:bidi w:val="0"/>
              <w:spacing w:before="0" w:after="283"/>
              <w:jc w:val="left"/>
              <w:rPr/>
            </w:pPr>
            <w:r>
              <w:rPr/>
              <w:t> </w:t>
            </w:r>
            <w:bookmarkStart w:id="93" w:name="xdx_40F_eus-gaap--Goodwill_i02I_maANzXN3"/>
            <w:bookmarkEnd w:id="93"/>
          </w:p>
        </w:tc>
      </w:tr>
      <w:tr>
        <w:trPr/>
        <w:tc>
          <w:tcPr>
            <w:tcW w:w="757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70,984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94" w:name="xdx_403_eus-gaap--AssetsNoncurrent_i01TI"/>
            <w:bookmarkEnd w:id="94"/>
          </w:p>
        </w:tc>
      </w:tr>
      <w:tr>
        <w:trPr/>
        <w:tc>
          <w:tcPr>
            <w:tcW w:w="7576"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115,648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454</w:t>
            </w:r>
          </w:p>
        </w:tc>
        <w:tc>
          <w:tcPr>
            <w:tcW w:w="114" w:type="dxa"/>
            <w:tcBorders/>
            <w:shd w:fill="CCEEFF" w:val="clear"/>
            <w:vAlign w:val="center"/>
          </w:tcPr>
          <w:p>
            <w:pPr>
              <w:pStyle w:val="TableContents"/>
              <w:bidi w:val="0"/>
              <w:spacing w:before="0" w:after="283"/>
              <w:jc w:val="left"/>
              <w:rPr/>
            </w:pPr>
            <w:r>
              <w:rPr/>
              <w:t> </w:t>
            </w:r>
            <w:bookmarkStart w:id="95" w:name="xdx_405_eus-gaap--Assets_i01TI_mtAzP5E_z"/>
            <w:bookmarkEnd w:id="95"/>
          </w:p>
        </w:tc>
      </w:tr>
      <w:tr>
        <w:trPr/>
        <w:tc>
          <w:tcPr>
            <w:tcW w:w="7576"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187,543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842</w:t>
            </w:r>
          </w:p>
        </w:tc>
        <w:tc>
          <w:tcPr>
            <w:tcW w:w="114"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6" w:name="xdx_40E_eus-gaap--LiabilitiesAndStockhol"/>
            <w:bookmarkEnd w:id="96"/>
          </w:p>
        </w:tc>
      </w:tr>
      <w:tr>
        <w:trPr/>
        <w:tc>
          <w:tcPr>
            <w:tcW w:w="7576" w:type="dxa"/>
            <w:tcBorders/>
            <w:shd w:fill="FFFFFF" w:val="clear"/>
            <w:vAlign w:val="center"/>
          </w:tcPr>
          <w:p>
            <w:pPr>
              <w:pStyle w:val="TableContents"/>
              <w:bidi w:val="0"/>
              <w:spacing w:before="0" w:after="283"/>
              <w:jc w:val="center"/>
              <w:rPr>
                <w:b/>
              </w:rPr>
            </w:pPr>
            <w:r>
              <w:rPr>
                <w:b/>
              </w:rPr>
              <w:t>LIABILITIES, MEZZANINE EQUITY AND STOCKHOLDERS’ EQUITY (DEFICIT)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97" w:name="xdx_408_eus-gaap--LiabilitiesAbstract_i0"/>
            <w:bookmarkEnd w:id="97"/>
          </w:p>
        </w:tc>
      </w:tr>
      <w:tr>
        <w:trPr/>
        <w:tc>
          <w:tcPr>
            <w:tcW w:w="7576"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8" w:name="xdx_40E_eus-gaap--AccountsPayableAndAccr"/>
            <w:bookmarkEnd w:id="98"/>
          </w:p>
        </w:tc>
      </w:tr>
      <w:tr>
        <w:trPr/>
        <w:tc>
          <w:tcPr>
            <w:tcW w:w="7576" w:type="dxa"/>
            <w:tcBorders/>
            <w:shd w:fill="FFFFFF" w:val="clear"/>
            <w:vAlign w:val="center"/>
          </w:tcPr>
          <w:p>
            <w:pPr>
              <w:pStyle w:val="TableContents"/>
              <w:bidi w:val="0"/>
              <w:spacing w:before="0" w:after="283"/>
              <w:jc w:val="left"/>
              <w:rPr/>
            </w:pPr>
            <w:r>
              <w:rPr/>
              <w:t>Accounts payable and accrued expenses, including $</w:t>
            </w:r>
            <w:bookmarkStart w:id="99" w:name="xdx_907_eus-gaap--AccountsPayableOtherCu"/>
            <w:bookmarkEnd w:id="99"/>
            <w:r>
              <w:rPr/>
              <w:t>66 and $</w:t>
            </w:r>
            <w:bookmarkStart w:id="100" w:name="xdx_90C_eus-gaap--AccountsPayableOtherCu"/>
            <w:bookmarkEnd w:id="100"/>
            <w:r>
              <w:rPr/>
              <w:t>19 to related parties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2,952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2,052</w:t>
            </w:r>
          </w:p>
        </w:tc>
        <w:tc>
          <w:tcPr>
            <w:tcW w:w="114" w:type="dxa"/>
            <w:tcBorders/>
            <w:shd w:fill="FFFFFF" w:val="clear"/>
            <w:vAlign w:val="center"/>
          </w:tcPr>
          <w:p>
            <w:pPr>
              <w:pStyle w:val="TableContents"/>
              <w:bidi w:val="0"/>
              <w:spacing w:before="0" w:after="283"/>
              <w:jc w:val="left"/>
              <w:rPr/>
            </w:pPr>
            <w:r>
              <w:rPr/>
              <w:t> </w:t>
            </w:r>
            <w:bookmarkStart w:id="101" w:name="xdx_401_eus-gaap--DividendsPayableCurren"/>
            <w:bookmarkEnd w:id="101"/>
          </w:p>
        </w:tc>
      </w:tr>
      <w:tr>
        <w:trPr/>
        <w:tc>
          <w:tcPr>
            <w:tcW w:w="7576" w:type="dxa"/>
            <w:tcBorders/>
            <w:shd w:fill="CCEEFF" w:val="clear"/>
            <w:vAlign w:val="center"/>
          </w:tcPr>
          <w:p>
            <w:pPr>
              <w:pStyle w:val="TableContents"/>
              <w:bidi w:val="0"/>
              <w:spacing w:before="0" w:after="283"/>
              <w:jc w:val="left"/>
              <w:rPr/>
            </w:pPr>
            <w:r>
              <w:rPr/>
              <w:t>Dividends payable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110</w:t>
            </w:r>
          </w:p>
        </w:tc>
        <w:tc>
          <w:tcPr>
            <w:tcW w:w="114" w:type="dxa"/>
            <w:tcBorders/>
            <w:shd w:fill="CCEEFF" w:val="clear"/>
            <w:vAlign w:val="center"/>
          </w:tcPr>
          <w:p>
            <w:pPr>
              <w:pStyle w:val="TableContents"/>
              <w:bidi w:val="0"/>
              <w:spacing w:before="0" w:after="283"/>
              <w:jc w:val="left"/>
              <w:rPr/>
            </w:pPr>
            <w:r>
              <w:rPr/>
              <w:t> </w:t>
            </w:r>
            <w:bookmarkStart w:id="102" w:name="xdx_401_eus-gaap--ConvertibleNotesPayabl"/>
            <w:bookmarkEnd w:id="102"/>
          </w:p>
        </w:tc>
      </w:tr>
      <w:tr>
        <w:trPr/>
        <w:tc>
          <w:tcPr>
            <w:tcW w:w="7576" w:type="dxa"/>
            <w:tcBorders/>
            <w:shd w:fill="FFFFFF" w:val="clear"/>
            <w:vAlign w:val="center"/>
          </w:tcPr>
          <w:p>
            <w:pPr>
              <w:pStyle w:val="TableContents"/>
              <w:bidi w:val="0"/>
              <w:spacing w:before="0" w:after="283"/>
              <w:jc w:val="left"/>
              <w:rPr/>
            </w:pPr>
            <w:r>
              <w:rPr/>
              <w:t>Convertible notes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38,021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03" w:name="xdx_402_eus-gaap--DerivativeLiabilitiesC"/>
            <w:bookmarkEnd w:id="103"/>
          </w:p>
        </w:tc>
      </w:tr>
      <w:tr>
        <w:trPr/>
        <w:tc>
          <w:tcPr>
            <w:tcW w:w="7576" w:type="dxa"/>
            <w:tcBorders/>
            <w:shd w:fill="CCEEFF" w:val="clear"/>
            <w:vAlign w:val="center"/>
          </w:tcPr>
          <w:p>
            <w:pPr>
              <w:pStyle w:val="TableContents"/>
              <w:bidi w:val="0"/>
              <w:spacing w:before="0" w:after="283"/>
              <w:jc w:val="left"/>
              <w:rPr/>
            </w:pPr>
            <w:r>
              <w:rPr/>
              <w:t>Embedded derivative liability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04" w:name="xdx_40A_eus-gaap--OperatingLeaseLiabilit"/>
            <w:bookmarkEnd w:id="104"/>
          </w:p>
        </w:tc>
      </w:tr>
      <w:tr>
        <w:trPr/>
        <w:tc>
          <w:tcPr>
            <w:tcW w:w="7576" w:type="dxa"/>
            <w:tcBorders/>
            <w:shd w:fill="FFFFFF" w:val="clear"/>
            <w:vAlign w:val="center"/>
          </w:tcPr>
          <w:p>
            <w:pPr>
              <w:pStyle w:val="TableContents"/>
              <w:bidi w:val="0"/>
              <w:spacing w:before="0" w:after="283"/>
              <w:jc w:val="left"/>
              <w:rPr/>
            </w:pPr>
            <w:r>
              <w:rPr/>
              <w:t>Lease liability, short term</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114" w:type="dxa"/>
            <w:tcBorders/>
            <w:shd w:fill="FFFFFF" w:val="clear"/>
            <w:vAlign w:val="center"/>
          </w:tcPr>
          <w:p>
            <w:pPr>
              <w:pStyle w:val="TableContents"/>
              <w:bidi w:val="0"/>
              <w:spacing w:before="0" w:after="283"/>
              <w:jc w:val="left"/>
              <w:rPr/>
            </w:pPr>
            <w:r>
              <w:rPr/>
              <w:t> </w:t>
            </w:r>
            <w:bookmarkStart w:id="105" w:name="xdx_406_eus-gaap--LiabilitiesCurrent_i02"/>
            <w:bookmarkEnd w:id="105"/>
          </w:p>
        </w:tc>
      </w:tr>
      <w:tr>
        <w:trPr/>
        <w:tc>
          <w:tcPr>
            <w:tcW w:w="7576"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b/>
              </w:rPr>
            </w:pPr>
            <w:r>
              <w:rPr>
                <w:b/>
              </w:rPr>
              <w:t>42,794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b/>
              </w:rPr>
            </w:pPr>
            <w:r>
              <w:rPr>
                <w:b/>
              </w:rPr>
              <w:t>2,264</w:t>
            </w:r>
          </w:p>
        </w:tc>
        <w:tc>
          <w:tcPr>
            <w:tcW w:w="114" w:type="dxa"/>
            <w:tcBorders/>
            <w:shd w:fill="CCEEFF" w:val="clear"/>
            <w:vAlign w:val="center"/>
          </w:tcPr>
          <w:p>
            <w:pPr>
              <w:pStyle w:val="TableContents"/>
              <w:bidi w:val="0"/>
              <w:spacing w:before="0" w:after="283"/>
              <w:jc w:val="left"/>
              <w:rPr/>
            </w:pPr>
            <w:r>
              <w:rPr/>
              <w:t> </w:t>
            </w:r>
            <w:bookmarkStart w:id="106" w:name="xdx_40D_eus-gaap--DeferredIncomeTaxLiabi"/>
            <w:bookmarkEnd w:id="106"/>
          </w:p>
        </w:tc>
      </w:tr>
      <w:tr>
        <w:trPr/>
        <w:tc>
          <w:tcPr>
            <w:tcW w:w="7576"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11,421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07" w:name="xdx_406_eus-gaap--Liabilities_i01TI_maLA"/>
            <w:bookmarkEnd w:id="107"/>
          </w:p>
        </w:tc>
      </w:tr>
      <w:tr>
        <w:trPr/>
        <w:tc>
          <w:tcPr>
            <w:tcW w:w="757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b/>
              </w:rPr>
            </w:pPr>
            <w:r>
              <w:rPr>
                <w:b/>
              </w:rPr>
              <w:t>54,215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b/>
              </w:rPr>
            </w:pPr>
            <w:r>
              <w:rPr>
                <w:b/>
              </w:rPr>
              <w:t>2,264</w:t>
            </w:r>
          </w:p>
        </w:tc>
        <w:tc>
          <w:tcPr>
            <w:tcW w:w="114" w:type="dxa"/>
            <w:tcBorders/>
            <w:shd w:fill="CCEEFF" w:val="clear"/>
            <w:vAlign w:val="center"/>
          </w:tcPr>
          <w:p>
            <w:pPr>
              <w:pStyle w:val="TableContents"/>
              <w:bidi w:val="0"/>
              <w:spacing w:before="0" w:after="283"/>
              <w:jc w:val="left"/>
              <w:rPr/>
            </w:pPr>
            <w:r>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8" w:name="xdx_405_eus-gaap--CommitmentsAndContinge"/>
            <w:bookmarkEnd w:id="108"/>
          </w:p>
        </w:tc>
      </w:tr>
      <w:tr>
        <w:trPr/>
        <w:tc>
          <w:tcPr>
            <w:tcW w:w="7576" w:type="dxa"/>
            <w:tcBorders/>
            <w:shd w:fill="CCEEFF" w:val="clear"/>
            <w:vAlign w:val="center"/>
          </w:tcPr>
          <w:p>
            <w:pPr>
              <w:pStyle w:val="TableContents"/>
              <w:bidi w:val="0"/>
              <w:spacing w:before="0" w:after="283"/>
              <w:jc w:val="left"/>
              <w:rPr/>
            </w:pPr>
            <w:r>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r>
      <w:tr>
        <w:trPr/>
        <w:tc>
          <w:tcPr>
            <w:tcW w:w="75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9" w:name="xdx_406_eus-gaap--TemporaryEquityAbstrac"/>
            <w:bookmarkEnd w:id="109"/>
          </w:p>
        </w:tc>
      </w:tr>
      <w:tr>
        <w:trPr/>
        <w:tc>
          <w:tcPr>
            <w:tcW w:w="7576" w:type="dxa"/>
            <w:tcBorders/>
            <w:shd w:fill="CCEEFF" w:val="clear"/>
            <w:vAlign w:val="center"/>
          </w:tcPr>
          <w:p>
            <w:pPr>
              <w:pStyle w:val="TableContents"/>
              <w:bidi w:val="0"/>
              <w:spacing w:before="0" w:after="283"/>
              <w:jc w:val="left"/>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10" w:name="xdx_400_eus-gaap--TemporaryEquityCarryin"/>
            <w:bookmarkEnd w:id="110"/>
          </w:p>
        </w:tc>
      </w:tr>
      <w:tr>
        <w:trPr/>
        <w:tc>
          <w:tcPr>
            <w:tcW w:w="7576" w:type="dxa"/>
            <w:tcBorders/>
            <w:shd w:fill="FFFFFF" w:val="clear"/>
            <w:vAlign w:val="center"/>
          </w:tcPr>
          <w:p>
            <w:pPr>
              <w:pStyle w:val="TableContents"/>
              <w:bidi w:val="0"/>
              <w:spacing w:before="0" w:after="283"/>
              <w:jc w:val="left"/>
              <w:rPr/>
            </w:pPr>
            <w:r>
              <w:rPr/>
              <w:t>Redeemable Series C 9% Convertible Preferred Stock, $</w:t>
            </w:r>
            <w:bookmarkStart w:id="111" w:name="xdx_901_eus-gaap--TemporaryEquityParOrSt"/>
            <w:bookmarkStart w:id="112" w:name="xdx_908_eus-gaap--TemporaryEquityParOrSt"/>
            <w:bookmarkEnd w:id="111"/>
            <w:bookmarkEnd w:id="112"/>
            <w:r>
              <w:rPr/>
              <w:t>0.001 par value, $</w:t>
            </w:r>
            <w:bookmarkStart w:id="113" w:name="xdx_908_eus-gaap--TemporaryEquityValueEx"/>
            <w:bookmarkStart w:id="114" w:name="xdx_909_eus-gaap--TemporaryEquityValueEx"/>
            <w:bookmarkEnd w:id="113"/>
            <w:bookmarkEnd w:id="114"/>
            <w:r>
              <w:rPr/>
              <w:t xml:space="preserve">1,000 stated value, authorized </w:t>
            </w:r>
            <w:bookmarkStart w:id="115" w:name="xdx_90C_eus-gaap--TemporaryEquitySharesA"/>
            <w:bookmarkStart w:id="116" w:name="xdx_900_eus-gaap--TemporaryEquitySharesA"/>
            <w:bookmarkEnd w:id="115"/>
            <w:bookmarkEnd w:id="116"/>
            <w:r>
              <w:rPr/>
              <w:t xml:space="preserve">4,200 shares, </w:t>
            </w:r>
            <w:bookmarkStart w:id="117" w:name="xdx_90D_eus-gaap--TemporaryEquitySharesO"/>
            <w:bookmarkStart w:id="118" w:name="xdx_901_eus-gaap--TemporaryEquitySharesI"/>
            <w:bookmarkStart w:id="119" w:name="xdx_905_eus-gaap--TemporaryEquitySharesO"/>
            <w:bookmarkStart w:id="120" w:name="xdx_905_eus-gaap--TemporaryEquitySharesI"/>
            <w:bookmarkEnd w:id="117"/>
            <w:bookmarkEnd w:id="118"/>
            <w:bookmarkEnd w:id="119"/>
            <w:bookmarkEnd w:id="120"/>
            <w:r>
              <w:rPr/>
              <w:t>105 shares issued and outstanding; (liquidation preference of $</w:t>
            </w:r>
            <w:bookmarkStart w:id="121" w:name="xdx_904_eus-gaap--TemporaryEquityLiquida"/>
            <w:bookmarkStart w:id="122" w:name="xdx_900_eus-gaap--TemporaryEquityLiquida"/>
            <w:bookmarkEnd w:id="121"/>
            <w:bookmarkEnd w:id="122"/>
            <w:r>
              <w:rPr/>
              <w:t>105; cumulative dividends payable of $</w:t>
            </w:r>
            <w:bookmarkStart w:id="123" w:name="xdx_905_eus-gaap--CumulativeDividends_iI"/>
            <w:bookmarkEnd w:id="123"/>
            <w:r>
              <w:rPr/>
              <w:t>121 and $</w:t>
            </w:r>
            <w:bookmarkStart w:id="124" w:name="xdx_907_eus-gaap--CumulativeDividends_iI"/>
            <w:bookmarkEnd w:id="124"/>
            <w:r>
              <w:rPr/>
              <w:t>110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105</w:t>
            </w:r>
          </w:p>
        </w:tc>
        <w:tc>
          <w:tcPr>
            <w:tcW w:w="114" w:type="dxa"/>
            <w:tcBorders/>
            <w:shd w:fill="FFFFFF" w:val="clear"/>
            <w:vAlign w:val="center"/>
          </w:tcPr>
          <w:p>
            <w:pPr>
              <w:pStyle w:val="TableContents"/>
              <w:bidi w:val="0"/>
              <w:spacing w:before="0" w:after="283"/>
              <w:jc w:val="left"/>
              <w:rPr/>
            </w:pPr>
            <w:r>
              <w:rPr/>
              <w:t> </w:t>
            </w:r>
          </w:p>
        </w:tc>
      </w:tr>
      <w:tr>
        <w:trPr/>
        <w:tc>
          <w:tcPr>
            <w:tcW w:w="7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25" w:name="xdx_408_eus-gaap--StockholdersEquityAbst"/>
            <w:bookmarkEnd w:id="125"/>
          </w:p>
        </w:tc>
      </w:tr>
      <w:tr>
        <w:trPr/>
        <w:tc>
          <w:tcPr>
            <w:tcW w:w="7576"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6" w:name="xdx_405_eus-gaap--PreferredStockValue_i0"/>
            <w:bookmarkEnd w:id="126"/>
          </w:p>
        </w:tc>
      </w:tr>
      <w:tr>
        <w:trPr/>
        <w:tc>
          <w:tcPr>
            <w:tcW w:w="7576" w:type="dxa"/>
            <w:tcBorders/>
            <w:shd w:fill="CCEEFF" w:val="clear"/>
            <w:vAlign w:val="center"/>
          </w:tcPr>
          <w:p>
            <w:pPr>
              <w:pStyle w:val="TableContents"/>
              <w:bidi w:val="0"/>
              <w:spacing w:before="0" w:after="283"/>
              <w:jc w:val="left"/>
              <w:rPr/>
            </w:pPr>
            <w:r>
              <w:rPr/>
              <w:t>Preferred stock, $</w:t>
            </w:r>
            <w:bookmarkStart w:id="127" w:name="xdx_900_eus-gaap--PreferredStockParOrSta"/>
            <w:bookmarkStart w:id="128" w:name="xdx_908_eus-gaap--PreferredStockParOrSta"/>
            <w:bookmarkEnd w:id="127"/>
            <w:bookmarkEnd w:id="128"/>
            <w:r>
              <w:rPr/>
              <w:t xml:space="preserve">0.001 par value, authorized </w:t>
            </w:r>
            <w:bookmarkStart w:id="129" w:name="xdx_900_eus-gaap--PreferredStockSharesAu"/>
            <w:bookmarkStart w:id="130" w:name="xdx_907_eus-gaap--PreferredStockSharesAu"/>
            <w:bookmarkEnd w:id="129"/>
            <w:bookmarkEnd w:id="130"/>
            <w:r>
              <w:rPr/>
              <w:t xml:space="preserve">1,000,000 shares, designated </w:t>
            </w:r>
            <w:bookmarkStart w:id="131" w:name="xdx_906_eus-gaap--PreferredStockSharesAu"/>
            <w:bookmarkStart w:id="132" w:name="xdx_90C_eus-gaap--PreferredStockSharesAu"/>
            <w:bookmarkEnd w:id="131"/>
            <w:bookmarkEnd w:id="132"/>
            <w:r>
              <w:rPr/>
              <w:t xml:space="preserve">200 shares of Series A, </w:t>
            </w:r>
            <w:bookmarkStart w:id="133" w:name="xdx_906_eus-gaap--PreferredStockSharesAu"/>
            <w:bookmarkStart w:id="134" w:name="xdx_90B_eus-gaap--PreferredStockSharesAu"/>
            <w:bookmarkEnd w:id="133"/>
            <w:bookmarkEnd w:id="134"/>
            <w:r>
              <w:rPr/>
              <w:t xml:space="preserve">600 shares of Series B, </w:t>
            </w:r>
            <w:bookmarkStart w:id="135" w:name="xdx_909_eus-gaap--PreferredStockSharesAu"/>
            <w:bookmarkStart w:id="136" w:name="xdx_906_eus-gaap--PreferredStockSharesAu"/>
            <w:bookmarkEnd w:id="135"/>
            <w:bookmarkEnd w:id="136"/>
            <w:r>
              <w:rPr/>
              <w:t xml:space="preserve">4,200 shares of Series C, </w:t>
            </w:r>
            <w:bookmarkStart w:id="137" w:name="xdx_90E_eus-gaap--PreferredStockSharesAu"/>
            <w:bookmarkStart w:id="138" w:name="xdx_902_eus-gaap--PreferredStockSharesAu"/>
            <w:bookmarkEnd w:id="137"/>
            <w:bookmarkEnd w:id="138"/>
            <w:r>
              <w:rPr/>
              <w:t xml:space="preserve">1,400 shares of Series D, </w:t>
            </w:r>
            <w:bookmarkStart w:id="139" w:name="xdx_901_eus-gaap--PreferredStockSharesAu"/>
            <w:bookmarkStart w:id="140" w:name="xdx_90B_eus-gaap--PreferredStockSharesAu"/>
            <w:bookmarkEnd w:id="139"/>
            <w:bookmarkEnd w:id="140"/>
            <w:r>
              <w:rPr/>
              <w:t xml:space="preserve">1,000 shares of Series E, </w:t>
            </w:r>
            <w:bookmarkStart w:id="141" w:name="xdx_909_eus-gaap--PreferredStockSharesAu"/>
            <w:bookmarkStart w:id="142" w:name="xdx_905_eus-gaap--PreferredStockSharesAu"/>
            <w:bookmarkEnd w:id="141"/>
            <w:bookmarkEnd w:id="142"/>
            <w:r>
              <w:rPr/>
              <w:t xml:space="preserve">200,000 shares of Series F Preferred Stock and </w:t>
            </w:r>
            <w:bookmarkStart w:id="143" w:name="xdx_901_eus-gaap--PreferredStockVotingRi"/>
            <w:bookmarkStart w:id="144" w:name="xdx_90B_eus-gaap--PreferredStockVotingRi"/>
            <w:bookmarkEnd w:id="143"/>
            <w:bookmarkEnd w:id="144"/>
            <w:r>
              <w:rPr/>
              <w:t xml:space="preserve">1 Special Voting Preferred Stock.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45" w:name="xdx_400_eus-gaap--CommonStockValue_i01I_"/>
            <w:bookmarkEnd w:id="145"/>
          </w:p>
        </w:tc>
      </w:tr>
      <w:tr>
        <w:trPr/>
        <w:tc>
          <w:tcPr>
            <w:tcW w:w="7576" w:type="dxa"/>
            <w:tcBorders/>
            <w:shd w:fill="FFFFFF" w:val="clear"/>
            <w:vAlign w:val="center"/>
          </w:tcPr>
          <w:p>
            <w:pPr>
              <w:pStyle w:val="TableContents"/>
              <w:bidi w:val="0"/>
              <w:spacing w:before="0" w:after="283"/>
              <w:jc w:val="left"/>
              <w:rPr/>
            </w:pPr>
            <w:r>
              <w:rPr/>
              <w:t>Common stock, $</w:t>
            </w:r>
            <w:bookmarkStart w:id="146" w:name="xdx_904_eus-gaap--CommonStockParOrStated"/>
            <w:bookmarkStart w:id="147" w:name="xdx_90F_eus-gaap--CommonStockParOrStated"/>
            <w:bookmarkEnd w:id="146"/>
            <w:bookmarkEnd w:id="147"/>
            <w:r>
              <w:rPr/>
              <w:t xml:space="preserve">0.001 par value, authorized </w:t>
            </w:r>
            <w:bookmarkStart w:id="148" w:name="xdx_90A_eus-gaap--CommonStockSharesAutho"/>
            <w:bookmarkStart w:id="149" w:name="xdx_90C_eus-gaap--CommonStockSharesAutho"/>
            <w:bookmarkEnd w:id="148"/>
            <w:bookmarkEnd w:id="149"/>
            <w:r>
              <w:rPr/>
              <w:t xml:space="preserve">500,000,000 shares, </w:t>
            </w:r>
            <w:bookmarkStart w:id="150" w:name="xdx_90D_eus-gaap--CommonStockSharesOutst"/>
            <w:bookmarkStart w:id="151" w:name="xdx_90F_eus-gaap--CommonStockSharesIssue"/>
            <w:bookmarkEnd w:id="150"/>
            <w:bookmarkEnd w:id="151"/>
            <w:r>
              <w:rPr/>
              <w:t xml:space="preserve">49,805,275 and </w:t>
            </w:r>
            <w:bookmarkStart w:id="152" w:name="xdx_900_eus-gaap--CommonStockSharesOutst"/>
            <w:bookmarkStart w:id="153" w:name="xdx_903_eus-gaap--CommonStockSharesIssue"/>
            <w:bookmarkEnd w:id="152"/>
            <w:bookmarkEnd w:id="153"/>
            <w:r>
              <w:rPr/>
              <w:t>17,239,096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17</w:t>
            </w:r>
          </w:p>
        </w:tc>
        <w:tc>
          <w:tcPr>
            <w:tcW w:w="114" w:type="dxa"/>
            <w:tcBorders/>
            <w:shd w:fill="FFFFFF" w:val="clear"/>
            <w:vAlign w:val="center"/>
          </w:tcPr>
          <w:p>
            <w:pPr>
              <w:pStyle w:val="TableContents"/>
              <w:bidi w:val="0"/>
              <w:spacing w:before="0" w:after="283"/>
              <w:jc w:val="left"/>
              <w:rPr/>
            </w:pPr>
            <w:r>
              <w:rPr/>
              <w:t> </w:t>
            </w:r>
            <w:bookmarkStart w:id="154" w:name="xdx_401_eus-gaap--AdditionalPaidInCapita"/>
            <w:bookmarkEnd w:id="154"/>
          </w:p>
        </w:tc>
      </w:tr>
      <w:tr>
        <w:trPr/>
        <w:tc>
          <w:tcPr>
            <w:tcW w:w="7576"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850,447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253,784</w:t>
            </w:r>
          </w:p>
        </w:tc>
        <w:tc>
          <w:tcPr>
            <w:tcW w:w="114" w:type="dxa"/>
            <w:tcBorders/>
            <w:shd w:fill="CCEEFF" w:val="clear"/>
            <w:vAlign w:val="center"/>
          </w:tcPr>
          <w:p>
            <w:pPr>
              <w:pStyle w:val="TableContents"/>
              <w:bidi w:val="0"/>
              <w:spacing w:before="0" w:after="283"/>
              <w:jc w:val="left"/>
              <w:rPr/>
            </w:pPr>
            <w:r>
              <w:rPr/>
              <w:t> </w:t>
            </w:r>
            <w:bookmarkStart w:id="155" w:name="xdx_40C_eus-gaap--AccumulatedOtherCompre"/>
            <w:bookmarkEnd w:id="155"/>
          </w:p>
        </w:tc>
      </w:tr>
      <w:tr>
        <w:trPr/>
        <w:tc>
          <w:tcPr>
            <w:tcW w:w="7576"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56" w:name="xdx_405_eus-gaap--RetainedEarningsAccumu"/>
            <w:bookmarkEnd w:id="156"/>
          </w:p>
        </w:tc>
      </w:tr>
      <w:tr>
        <w:trPr/>
        <w:tc>
          <w:tcPr>
            <w:tcW w:w="757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(718,120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(255,345</w:t>
            </w:r>
          </w:p>
        </w:tc>
        <w:tc>
          <w:tcPr>
            <w:tcW w:w="114" w:type="dxa"/>
            <w:tcBorders/>
            <w:shd w:fill="CCEEFF" w:val="clear"/>
            <w:vAlign w:val="center"/>
          </w:tcPr>
          <w:p>
            <w:pPr>
              <w:pStyle w:val="TableContents"/>
              <w:bidi w:val="0"/>
              <w:spacing w:before="0" w:after="283"/>
              <w:jc w:val="left"/>
              <w:rPr/>
            </w:pPr>
            <w:r>
              <w:rPr/>
              <w:t>)</w:t>
            </w:r>
            <w:bookmarkStart w:id="157" w:name="xdx_40A_eus-gaap--StockholdersEquity_i01"/>
            <w:bookmarkEnd w:id="157"/>
          </w:p>
        </w:tc>
      </w:tr>
      <w:tr>
        <w:trPr/>
        <w:tc>
          <w:tcPr>
            <w:tcW w:w="7576" w:type="dxa"/>
            <w:tcBorders/>
            <w:shd w:fill="FFFFFF" w:val="clear"/>
            <w:vAlign w:val="center"/>
          </w:tcPr>
          <w:p>
            <w:pPr>
              <w:pStyle w:val="TableContents"/>
              <w:bidi w:val="0"/>
              <w:spacing w:before="0" w:after="283"/>
              <w:jc w:val="left"/>
              <w:rPr>
                <w:b/>
              </w:rPr>
            </w:pPr>
            <w:r>
              <w:rPr>
                <w:b/>
              </w:rPr>
              <w:t>Total stockholders’ equity (deficit) attributable to Streamex Corp.</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b/>
              </w:rPr>
            </w:pPr>
            <w:r>
              <w:rPr>
                <w:b/>
              </w:rPr>
              <w:t>133,191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b/>
              </w:rPr>
            </w:pPr>
            <w:r>
              <w:rPr>
                <w:b/>
              </w:rPr>
              <w:t>(1,544</w:t>
            </w:r>
          </w:p>
        </w:tc>
        <w:tc>
          <w:tcPr>
            <w:tcW w:w="114" w:type="dxa"/>
            <w:tcBorders/>
            <w:shd w:fill="FFFFFF" w:val="clear"/>
            <w:vAlign w:val="center"/>
          </w:tcPr>
          <w:p>
            <w:pPr>
              <w:pStyle w:val="TableContents"/>
              <w:bidi w:val="0"/>
              <w:spacing w:before="0" w:after="283"/>
              <w:jc w:val="left"/>
              <w:rPr>
                <w:b/>
              </w:rPr>
            </w:pPr>
            <w:r>
              <w:rPr>
                <w:b/>
              </w:rPr>
              <w:t>)</w:t>
            </w:r>
            <w:bookmarkStart w:id="158" w:name="xdx_40C_eus-gaap--MinorityInterest_i01I_"/>
            <w:bookmarkEnd w:id="158"/>
          </w:p>
        </w:tc>
      </w:tr>
      <w:tr>
        <w:trPr/>
        <w:tc>
          <w:tcPr>
            <w:tcW w:w="7576"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4" w:type="dxa"/>
            <w:tcBorders/>
            <w:shd w:fill="CCEEFF" w:val="clear"/>
            <w:vAlign w:val="center"/>
          </w:tcPr>
          <w:p>
            <w:pPr>
              <w:pStyle w:val="TableContents"/>
              <w:bidi w:val="0"/>
              <w:spacing w:before="0" w:after="283"/>
              <w:jc w:val="left"/>
              <w:rPr/>
            </w:pPr>
            <w:r>
              <w:rPr/>
              <w:t> </w:t>
            </w:r>
            <w:bookmarkStart w:id="159" w:name="xdx_40C_eus-gaap--StockholdersEquityIncl"/>
            <w:bookmarkEnd w:id="159"/>
          </w:p>
        </w:tc>
      </w:tr>
      <w:tr>
        <w:trPr/>
        <w:tc>
          <w:tcPr>
            <w:tcW w:w="7576" w:type="dxa"/>
            <w:tcBorders/>
            <w:shd w:fill="FFFFFF" w:val="clear"/>
            <w:vAlign w:val="center"/>
          </w:tcPr>
          <w:p>
            <w:pPr>
              <w:pStyle w:val="TableContents"/>
              <w:bidi w:val="0"/>
              <w:spacing w:before="0" w:after="283"/>
              <w:jc w:val="left"/>
              <w:rPr>
                <w:b/>
              </w:rPr>
            </w:pPr>
            <w:r>
              <w:rPr>
                <w:b/>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(1,527</w:t>
            </w:r>
          </w:p>
        </w:tc>
        <w:tc>
          <w:tcPr>
            <w:tcW w:w="114" w:type="dxa"/>
            <w:tcBorders/>
            <w:shd w:fill="FFFFFF" w:val="clear"/>
            <w:vAlign w:val="center"/>
          </w:tcPr>
          <w:p>
            <w:pPr>
              <w:pStyle w:val="TableContents"/>
              <w:bidi w:val="0"/>
              <w:spacing w:before="0" w:after="283"/>
              <w:jc w:val="left"/>
              <w:rPr>
                <w:b/>
              </w:rPr>
            </w:pPr>
            <w:r>
              <w:rPr>
                <w:b/>
              </w:rPr>
              <w:t>)</w:t>
            </w:r>
            <w:bookmarkStart w:id="160" w:name="xdx_40B_eus-gaap--LiabilitiesAndStockhol"/>
            <w:bookmarkEnd w:id="160"/>
          </w:p>
        </w:tc>
      </w:tr>
      <w:tr>
        <w:trPr/>
        <w:tc>
          <w:tcPr>
            <w:tcW w:w="7576" w:type="dxa"/>
            <w:tcBorders/>
            <w:shd w:fill="CCEEFF" w:val="clear"/>
            <w:vAlign w:val="center"/>
          </w:tcPr>
          <w:p>
            <w:pPr>
              <w:pStyle w:val="TableContents"/>
              <w:bidi w:val="0"/>
              <w:spacing w:before="0" w:after="283"/>
              <w:jc w:val="left"/>
              <w:rPr>
                <w:b/>
              </w:rPr>
            </w:pPr>
            <w:r>
              <w:rPr>
                <w:b/>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187,543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842</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1" w:name="F_004"/>
      <w:bookmarkEnd w:id="161"/>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2" w:name="xdx_308_113_pn3n3_zq0fpGmiENG3"/>
      <w:bookmarkStart w:id="163" w:name="xdx_308_113_pn3n3_zq0fpGmiENG3"/>
      <w:bookmarkEnd w:id="163"/>
    </w:p>
    <w:tbl>
      <w:tblPr>
        <w:tblW w:w="10205" w:type="dxa"/>
        <w:jc w:val="left"/>
        <w:tblInd w:w="0" w:type="dxa"/>
        <w:tblLayout w:type="fixed"/>
        <w:tblCellMar>
          <w:top w:w="0" w:type="dxa"/>
          <w:left w:w="0" w:type="dxa"/>
          <w:bottom w:w="0" w:type="dxa"/>
          <w:right w:w="0" w:type="dxa"/>
        </w:tblCellMar>
      </w:tblPr>
      <w:tblGrid>
        <w:gridCol w:w="6623"/>
        <w:gridCol w:w="60"/>
        <w:gridCol w:w="180"/>
        <w:gridCol w:w="1425"/>
        <w:gridCol w:w="122"/>
        <w:gridCol w:w="77"/>
        <w:gridCol w:w="180"/>
        <w:gridCol w:w="1425"/>
        <w:gridCol w:w="113"/>
      </w:tblGrid>
      <w:tr>
        <w:trPr/>
        <w:tc>
          <w:tcPr>
            <w:tcW w:w="6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 w:name="xdx_490_20250101__20251231_z6R7O7rJHLP2"/>
            <w:bookmarkEnd w:id="164"/>
          </w:p>
        </w:tc>
        <w:tc>
          <w:tcPr>
            <w:tcW w:w="160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bookmarkStart w:id="165" w:name="xdx_493_20240101__20241231_zOH3JsPSGq6d"/>
            <w:bookmarkEnd w:id="165"/>
          </w:p>
        </w:tc>
        <w:tc>
          <w:tcPr>
            <w:tcW w:w="160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center"/>
              <w:rPr/>
            </w:pPr>
            <w:r>
              <w:rPr/>
              <w:t> </w:t>
            </w:r>
          </w:p>
        </w:tc>
      </w:tr>
      <w:tr>
        <w:trPr/>
        <w:tc>
          <w:tcPr>
            <w:tcW w:w="6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3" w:type="dxa"/>
            <w:tcBorders/>
            <w:vAlign w:val="center"/>
          </w:tcPr>
          <w:p>
            <w:pPr>
              <w:pStyle w:val="TableContents"/>
              <w:bidi w:val="0"/>
              <w:spacing w:before="0" w:after="283"/>
              <w:jc w:val="left"/>
              <w:rPr/>
            </w:pPr>
            <w:r>
              <w:rPr/>
              <w:t> </w:t>
            </w:r>
          </w:p>
        </w:tc>
      </w:tr>
      <w:tr>
        <w:trPr/>
        <w:tc>
          <w:tcPr>
            <w:tcW w:w="6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166" w:name="xdx_407_eus-gaap--RevenueFromContractWit"/>
            <w:bookmarkEnd w:id="166"/>
          </w:p>
        </w:tc>
      </w:tr>
      <w:tr>
        <w:trPr/>
        <w:tc>
          <w:tcPr>
            <w:tcW w:w="6623"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40</w:t>
            </w:r>
          </w:p>
        </w:tc>
        <w:tc>
          <w:tcPr>
            <w:tcW w:w="113" w:type="dxa"/>
            <w:tcBorders/>
            <w:shd w:fill="CCEEFF" w:val="clear"/>
            <w:vAlign w:val="center"/>
          </w:tcPr>
          <w:p>
            <w:pPr>
              <w:pStyle w:val="TableContents"/>
              <w:bidi w:val="0"/>
              <w:spacing w:before="0" w:after="283"/>
              <w:jc w:val="left"/>
              <w:rPr/>
            </w:pPr>
            <w:r>
              <w:rPr/>
              <w:t> </w:t>
            </w:r>
          </w:p>
        </w:tc>
      </w:tr>
      <w:tr>
        <w:trPr/>
        <w:tc>
          <w:tcPr>
            <w:tcW w:w="66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7" w:name="xdx_405_eus-gaap--OperatingExpensesAbstr"/>
            <w:bookmarkEnd w:id="167"/>
          </w:p>
        </w:tc>
      </w:tr>
      <w:tr>
        <w:trPr/>
        <w:tc>
          <w:tcPr>
            <w:tcW w:w="662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8" w:name="xdx_40A_eus-gaap--ResearchAndDevelopment"/>
            <w:bookmarkEnd w:id="168"/>
          </w:p>
        </w:tc>
      </w:tr>
      <w:tr>
        <w:trPr/>
        <w:tc>
          <w:tcPr>
            <w:tcW w:w="662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31</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832</w:t>
            </w:r>
          </w:p>
        </w:tc>
        <w:tc>
          <w:tcPr>
            <w:tcW w:w="113" w:type="dxa"/>
            <w:tcBorders/>
            <w:shd w:fill="FFFFFF" w:val="clear"/>
            <w:vAlign w:val="center"/>
          </w:tcPr>
          <w:p>
            <w:pPr>
              <w:pStyle w:val="TableContents"/>
              <w:bidi w:val="0"/>
              <w:spacing w:before="0" w:after="283"/>
              <w:jc w:val="left"/>
              <w:rPr/>
            </w:pPr>
            <w:r>
              <w:rPr/>
              <w:t> </w:t>
            </w:r>
            <w:bookmarkStart w:id="169" w:name="xdx_40B_eus-gaap--GeneralAndAdministrati"/>
            <w:bookmarkEnd w:id="169"/>
          </w:p>
        </w:tc>
      </w:tr>
      <w:tr>
        <w:trPr/>
        <w:tc>
          <w:tcPr>
            <w:tcW w:w="662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67,529</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11,629</w:t>
            </w:r>
          </w:p>
        </w:tc>
        <w:tc>
          <w:tcPr>
            <w:tcW w:w="113" w:type="dxa"/>
            <w:tcBorders/>
            <w:shd w:fill="CCEEFF" w:val="clear"/>
            <w:vAlign w:val="center"/>
          </w:tcPr>
          <w:p>
            <w:pPr>
              <w:pStyle w:val="TableContents"/>
              <w:bidi w:val="0"/>
              <w:spacing w:before="0" w:after="283"/>
              <w:jc w:val="left"/>
              <w:rPr/>
            </w:pPr>
            <w:r>
              <w:rPr/>
              <w:t> </w:t>
            </w:r>
            <w:bookmarkStart w:id="170" w:name="xdx_40E_eus-gaap--ImpairmentOfLongLivedA"/>
            <w:bookmarkEnd w:id="170"/>
          </w:p>
        </w:tc>
      </w:tr>
      <w:tr>
        <w:trPr/>
        <w:tc>
          <w:tcPr>
            <w:tcW w:w="6623" w:type="dxa"/>
            <w:tcBorders/>
            <w:shd w:fill="FFFFFF" w:val="clear"/>
            <w:vAlign w:val="center"/>
          </w:tcPr>
          <w:p>
            <w:pPr>
              <w:pStyle w:val="TableContents"/>
              <w:bidi w:val="0"/>
              <w:spacing w:before="0" w:after="283"/>
              <w:jc w:val="left"/>
              <w:rPr/>
            </w:pPr>
            <w:r>
              <w:rPr/>
              <w:t>Impairment of long term assets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253</w:t>
            </w:r>
          </w:p>
        </w:tc>
        <w:tc>
          <w:tcPr>
            <w:tcW w:w="113" w:type="dxa"/>
            <w:tcBorders/>
            <w:shd w:fill="FFFFFF" w:val="clear"/>
            <w:vAlign w:val="center"/>
          </w:tcPr>
          <w:p>
            <w:pPr>
              <w:pStyle w:val="TableContents"/>
              <w:bidi w:val="0"/>
              <w:spacing w:before="0" w:after="283"/>
              <w:jc w:val="left"/>
              <w:rPr/>
            </w:pPr>
            <w:r>
              <w:rPr/>
              <w:t> </w:t>
            </w:r>
            <w:bookmarkStart w:id="171" w:name="xdx_408_eus-gaap--DepreciationAndAmortiz"/>
            <w:bookmarkEnd w:id="171"/>
          </w:p>
        </w:tc>
      </w:tr>
      <w:tr>
        <w:trPr/>
        <w:tc>
          <w:tcPr>
            <w:tcW w:w="662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3,534</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188</w:t>
            </w:r>
          </w:p>
        </w:tc>
        <w:tc>
          <w:tcPr>
            <w:tcW w:w="113" w:type="dxa"/>
            <w:tcBorders/>
            <w:shd w:fill="CCEEFF" w:val="clear"/>
            <w:vAlign w:val="center"/>
          </w:tcPr>
          <w:p>
            <w:pPr>
              <w:pStyle w:val="TableContents"/>
              <w:bidi w:val="0"/>
              <w:spacing w:before="0" w:after="283"/>
              <w:jc w:val="left"/>
              <w:rPr/>
            </w:pPr>
            <w:r>
              <w:rPr/>
              <w:t> </w:t>
            </w:r>
            <w:bookmarkStart w:id="172" w:name="xdx_407_eus-gaap--OperatingExpenses_i01T"/>
            <w:bookmarkEnd w:id="172"/>
          </w:p>
        </w:tc>
      </w:tr>
      <w:tr>
        <w:trPr/>
        <w:tc>
          <w:tcPr>
            <w:tcW w:w="662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pPr>
            <w:r>
              <w:rPr/>
              <w:t>71,094</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pPr>
            <w:r>
              <w:rPr/>
              <w:t>12,902</w:t>
            </w:r>
          </w:p>
        </w:tc>
        <w:tc>
          <w:tcPr>
            <w:tcW w:w="113" w:type="dxa"/>
            <w:tcBorders/>
            <w:shd w:fill="FFFFFF" w:val="clear"/>
            <w:vAlign w:val="center"/>
          </w:tcPr>
          <w:p>
            <w:pPr>
              <w:pStyle w:val="TableContents"/>
              <w:bidi w:val="0"/>
              <w:spacing w:before="0" w:after="283"/>
              <w:jc w:val="left"/>
              <w:rPr/>
            </w:pPr>
            <w:r>
              <w:rPr/>
              <w:t> </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3" w:name="xdx_409_eus-gaap--OperatingIncomeLoss_iT"/>
            <w:bookmarkEnd w:id="173"/>
          </w:p>
        </w:tc>
      </w:tr>
      <w:tr>
        <w:trPr/>
        <w:tc>
          <w:tcPr>
            <w:tcW w:w="6623"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(71,094</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(12,862</w:t>
            </w:r>
          </w:p>
        </w:tc>
        <w:tc>
          <w:tcPr>
            <w:tcW w:w="113" w:type="dxa"/>
            <w:tcBorders/>
            <w:shd w:fill="FFFFFF" w:val="clear"/>
            <w:vAlign w:val="center"/>
          </w:tcPr>
          <w:p>
            <w:pPr>
              <w:pStyle w:val="TableContents"/>
              <w:bidi w:val="0"/>
              <w:spacing w:before="0" w:after="283"/>
              <w:jc w:val="left"/>
              <w:rPr>
                <w:b/>
              </w:rPr>
            </w:pPr>
            <w:r>
              <w:rPr>
                <w:b/>
              </w:rPr>
              <w:t>)</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4" w:name="xdx_404_eus-gaap--NonoperatingIncomeExpe"/>
            <w:bookmarkEnd w:id="174"/>
          </w:p>
        </w:tc>
      </w:tr>
      <w:tr>
        <w:trPr/>
        <w:tc>
          <w:tcPr>
            <w:tcW w:w="6623"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5" w:name="xdx_40F_eus-gaap--InterestIncomeExpenseN"/>
            <w:bookmarkEnd w:id="175"/>
          </w:p>
        </w:tc>
      </w:tr>
      <w:tr>
        <w:trPr/>
        <w:tc>
          <w:tcPr>
            <w:tcW w:w="6623"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(1,592</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(11</w:t>
            </w:r>
          </w:p>
        </w:tc>
        <w:tc>
          <w:tcPr>
            <w:tcW w:w="113" w:type="dxa"/>
            <w:tcBorders/>
            <w:shd w:fill="CCEEFF" w:val="clear"/>
            <w:vAlign w:val="center"/>
          </w:tcPr>
          <w:p>
            <w:pPr>
              <w:pStyle w:val="TableContents"/>
              <w:bidi w:val="0"/>
              <w:spacing w:before="0" w:after="283"/>
              <w:jc w:val="left"/>
              <w:rPr/>
            </w:pPr>
            <w:r>
              <w:rPr/>
              <w:t>)</w:t>
            </w:r>
            <w:bookmarkStart w:id="176" w:name="xdx_40C_ecustom--ChangeInFairValueOfMark"/>
            <w:bookmarkEnd w:id="176"/>
          </w:p>
        </w:tc>
      </w:tr>
      <w:tr>
        <w:trPr/>
        <w:tc>
          <w:tcPr>
            <w:tcW w:w="6623" w:type="dxa"/>
            <w:tcBorders/>
            <w:shd w:fill="FFFFFF" w:val="clear"/>
            <w:vAlign w:val="center"/>
          </w:tcPr>
          <w:p>
            <w:pPr>
              <w:pStyle w:val="TableContents"/>
              <w:bidi w:val="0"/>
              <w:spacing w:before="0" w:after="283"/>
              <w:jc w:val="left"/>
              <w:rPr/>
            </w:pPr>
            <w:r>
              <w:rPr/>
              <w:t>Change in fair value of marketable securities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(777</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7" w:name="xdx_40E_ecustom--LossOnWarrantSettlement"/>
            <w:bookmarkEnd w:id="177"/>
          </w:p>
        </w:tc>
      </w:tr>
      <w:tr>
        <w:trPr/>
        <w:tc>
          <w:tcPr>
            <w:tcW w:w="6623" w:type="dxa"/>
            <w:tcBorders/>
            <w:shd w:fill="CCEEFF" w:val="clear"/>
            <w:vAlign w:val="center"/>
          </w:tcPr>
          <w:p>
            <w:pPr>
              <w:pStyle w:val="TableContents"/>
              <w:bidi w:val="0"/>
              <w:spacing w:before="0" w:after="283"/>
              <w:jc w:val="left"/>
              <w:rPr/>
            </w:pPr>
            <w:r>
              <w:rPr/>
              <w:t>Loss on warrant settlement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(8,049</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8" w:name="xdx_402_eus-gaap--DerivativeGainLossOnDe"/>
            <w:bookmarkEnd w:id="178"/>
          </w:p>
        </w:tc>
      </w:tr>
      <w:tr>
        <w:trPr/>
        <w:tc>
          <w:tcPr>
            <w:tcW w:w="6623"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(389,680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9" w:name="xdx_404_ecustom--ChangeInFairValueOfEmbe"/>
            <w:bookmarkEnd w:id="179"/>
          </w:p>
        </w:tc>
      </w:tr>
      <w:tr>
        <w:trPr/>
        <w:tc>
          <w:tcPr>
            <w:tcW w:w="6623" w:type="dxa"/>
            <w:tcBorders/>
            <w:shd w:fill="CCEEFF" w:val="clear"/>
            <w:vAlign w:val="center"/>
          </w:tcPr>
          <w:p>
            <w:pPr>
              <w:pStyle w:val="TableContents"/>
              <w:bidi w:val="0"/>
              <w:spacing w:before="0" w:after="283"/>
              <w:jc w:val="left"/>
              <w:rPr/>
            </w:pPr>
            <w:r>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7,015</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80" w:name="xdx_406_ecustom--GainLossOnSettlementAnd"/>
            <w:bookmarkEnd w:id="180"/>
          </w:p>
        </w:tc>
      </w:tr>
      <w:tr>
        <w:trPr/>
        <w:tc>
          <w:tcPr>
            <w:tcW w:w="6623" w:type="dxa"/>
            <w:tcBorders/>
            <w:shd w:fill="FFFFFF" w:val="clear"/>
            <w:vAlign w:val="center"/>
          </w:tcPr>
          <w:p>
            <w:pPr>
              <w:pStyle w:val="TableContents"/>
              <w:bidi w:val="0"/>
              <w:spacing w:before="0" w:after="283"/>
              <w:jc w:val="left"/>
              <w:rPr/>
            </w:pPr>
            <w:r>
              <w:rPr/>
              <w:t>Gain on settlement and forgiveness of 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196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2,511</w:t>
            </w:r>
          </w:p>
        </w:tc>
        <w:tc>
          <w:tcPr>
            <w:tcW w:w="113" w:type="dxa"/>
            <w:tcBorders/>
            <w:shd w:fill="FFFFFF" w:val="clear"/>
            <w:vAlign w:val="center"/>
          </w:tcPr>
          <w:p>
            <w:pPr>
              <w:pStyle w:val="TableContents"/>
              <w:bidi w:val="0"/>
              <w:spacing w:before="0" w:after="283"/>
              <w:jc w:val="left"/>
              <w:rPr/>
            </w:pPr>
            <w:r>
              <w:rPr/>
              <w:t> </w:t>
            </w:r>
            <w:bookmarkStart w:id="181" w:name="xdx_405_eus-gaap--OtherNonoperatingIncom"/>
            <w:bookmarkEnd w:id="181"/>
          </w:p>
        </w:tc>
      </w:tr>
      <w:tr>
        <w:trPr/>
        <w:tc>
          <w:tcPr>
            <w:tcW w:w="662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3" w:type="dxa"/>
            <w:tcBorders/>
            <w:shd w:fill="CCEEFF" w:val="clear"/>
            <w:vAlign w:val="center"/>
          </w:tcPr>
          <w:p>
            <w:pPr>
              <w:pStyle w:val="TableContents"/>
              <w:bidi w:val="0"/>
              <w:spacing w:before="0" w:after="283"/>
              <w:jc w:val="left"/>
              <w:rPr/>
            </w:pPr>
            <w:r>
              <w:rPr/>
              <w:t> </w:t>
            </w:r>
            <w:bookmarkStart w:id="182" w:name="xdx_405_eus-gaap--NonoperatingIncomeExpe"/>
            <w:bookmarkEnd w:id="182"/>
          </w:p>
        </w:tc>
      </w:tr>
      <w:tr>
        <w:trPr/>
        <w:tc>
          <w:tcPr>
            <w:tcW w:w="6623"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(392,920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2,523</w:t>
            </w:r>
          </w:p>
        </w:tc>
        <w:tc>
          <w:tcPr>
            <w:tcW w:w="113" w:type="dxa"/>
            <w:tcBorders/>
            <w:shd w:fill="FFFFFF" w:val="clear"/>
            <w:vAlign w:val="center"/>
          </w:tcPr>
          <w:p>
            <w:pPr>
              <w:pStyle w:val="TableContents"/>
              <w:bidi w:val="0"/>
              <w:spacing w:before="0" w:after="283"/>
              <w:jc w:val="left"/>
              <w:rPr/>
            </w:pPr>
            <w:r>
              <w:rPr/>
              <w:t> </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3" w:name="xdx_40B_eus-gaap--IncomeLossFromContinui"/>
            <w:bookmarkEnd w:id="183"/>
          </w:p>
        </w:tc>
      </w:tr>
      <w:tr>
        <w:trPr/>
        <w:tc>
          <w:tcPr>
            <w:tcW w:w="6623"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(464,014</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(10,339</w:t>
            </w:r>
          </w:p>
        </w:tc>
        <w:tc>
          <w:tcPr>
            <w:tcW w:w="113" w:type="dxa"/>
            <w:tcBorders/>
            <w:shd w:fill="FFFFFF" w:val="clear"/>
            <w:vAlign w:val="center"/>
          </w:tcPr>
          <w:p>
            <w:pPr>
              <w:pStyle w:val="TableContents"/>
              <w:bidi w:val="0"/>
              <w:spacing w:before="0" w:after="283"/>
              <w:jc w:val="left"/>
              <w:rPr>
                <w:b/>
              </w:rPr>
            </w:pPr>
            <w:r>
              <w:rPr>
                <w:b/>
              </w:rPr>
              <w:t>)</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4" w:name="xdx_402_eus-gaap--IncomeTaxExpenseBenefi"/>
            <w:bookmarkEnd w:id="184"/>
          </w:p>
        </w:tc>
      </w:tr>
      <w:tr>
        <w:trPr/>
        <w:tc>
          <w:tcPr>
            <w:tcW w:w="6623" w:type="dxa"/>
            <w:tcBorders/>
            <w:shd w:fill="FFFFFF" w:val="clear"/>
            <w:vAlign w:val="center"/>
          </w:tcPr>
          <w:p>
            <w:pPr>
              <w:pStyle w:val="TableContents"/>
              <w:bidi w:val="0"/>
              <w:spacing w:before="0" w:after="283"/>
              <w:jc w:val="left"/>
              <w:rPr/>
            </w:pPr>
            <w:r>
              <w:rPr/>
              <w:t>Income taxes (benefit)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pPr>
            <w:r>
              <w:rPr/>
              <w:t>(1,254</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5" w:name="xdx_400_eus-gaap--ProfitLoss_iT_mtPLzVnm"/>
            <w:bookmarkEnd w:id="185"/>
          </w:p>
        </w:tc>
      </w:tr>
      <w:tr>
        <w:trPr/>
        <w:tc>
          <w:tcPr>
            <w:tcW w:w="662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b/>
              </w:rPr>
            </w:pPr>
            <w:r>
              <w:rPr>
                <w:b/>
              </w:rPr>
              <w:t>(462,760</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b/>
              </w:rPr>
            </w:pPr>
            <w:r>
              <w:rPr>
                <w:b/>
              </w:rPr>
              <w:t>(10,339</w:t>
            </w:r>
          </w:p>
        </w:tc>
        <w:tc>
          <w:tcPr>
            <w:tcW w:w="113" w:type="dxa"/>
            <w:tcBorders/>
            <w:shd w:fill="FFFFFF" w:val="clear"/>
            <w:vAlign w:val="center"/>
          </w:tcPr>
          <w:p>
            <w:pPr>
              <w:pStyle w:val="TableContents"/>
              <w:bidi w:val="0"/>
              <w:spacing w:before="0" w:after="283"/>
              <w:jc w:val="left"/>
              <w:rPr>
                <w:b/>
              </w:rPr>
            </w:pPr>
            <w:r>
              <w:rPr>
                <w:b/>
              </w:rPr>
              <w:t>)</w:t>
            </w:r>
            <w:bookmarkStart w:id="186" w:name="xdx_40D_eus-gaap--NetIncomeLossAttributa"/>
            <w:bookmarkEnd w:id="186"/>
          </w:p>
        </w:tc>
      </w:tr>
      <w:tr>
        <w:trPr/>
        <w:tc>
          <w:tcPr>
            <w:tcW w:w="6623"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3" w:type="dxa"/>
            <w:tcBorders/>
            <w:shd w:fill="CCEEFF" w:val="clear"/>
            <w:vAlign w:val="center"/>
          </w:tcPr>
          <w:p>
            <w:pPr>
              <w:pStyle w:val="TableContents"/>
              <w:bidi w:val="0"/>
              <w:spacing w:before="0" w:after="283"/>
              <w:jc w:val="left"/>
              <w:rPr/>
            </w:pPr>
            <w:r>
              <w:rPr/>
              <w:t> </w:t>
            </w:r>
            <w:bookmarkStart w:id="187" w:name="xdx_400_eus-gaap--NetIncomeLoss_iT_mtNIL"/>
            <w:bookmarkEnd w:id="187"/>
          </w:p>
        </w:tc>
      </w:tr>
      <w:tr>
        <w:trPr/>
        <w:tc>
          <w:tcPr>
            <w:tcW w:w="6623" w:type="dxa"/>
            <w:tcBorders/>
            <w:shd w:fill="FFFFFF" w:val="clear"/>
            <w:vAlign w:val="center"/>
          </w:tcPr>
          <w:p>
            <w:pPr>
              <w:pStyle w:val="TableContents"/>
              <w:bidi w:val="0"/>
              <w:spacing w:before="0" w:after="283"/>
              <w:jc w:val="left"/>
              <w:rPr>
                <w:b/>
              </w:rPr>
            </w:pPr>
            <w:r>
              <w:rPr>
                <w:b/>
              </w:rPr>
              <w:t>Net loss attributable to Streamex Corp.</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b/>
              </w:rPr>
            </w:pPr>
            <w:r>
              <w:rPr>
                <w:b/>
              </w:rPr>
              <w:t>(462,775</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b/>
              </w:rPr>
            </w:pPr>
            <w:r>
              <w:rPr>
                <w:b/>
              </w:rPr>
              <w:t>(10,330</w:t>
            </w:r>
          </w:p>
        </w:tc>
        <w:tc>
          <w:tcPr>
            <w:tcW w:w="113" w:type="dxa"/>
            <w:tcBorders/>
            <w:shd w:fill="FFFFFF" w:val="clear"/>
            <w:vAlign w:val="center"/>
          </w:tcPr>
          <w:p>
            <w:pPr>
              <w:pStyle w:val="TableContents"/>
              <w:bidi w:val="0"/>
              <w:spacing w:before="0" w:after="283"/>
              <w:jc w:val="left"/>
              <w:rPr>
                <w:b/>
              </w:rPr>
            </w:pPr>
            <w:r>
              <w:rPr>
                <w:b/>
              </w:rPr>
              <w:t>)</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8" w:name="xdx_401_eus-gaap--DividendsPreferredStoc"/>
            <w:bookmarkEnd w:id="188"/>
          </w:p>
        </w:tc>
      </w:tr>
      <w:tr>
        <w:trPr/>
        <w:tc>
          <w:tcPr>
            <w:tcW w:w="6623"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(11</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(9</w:t>
            </w:r>
          </w:p>
        </w:tc>
        <w:tc>
          <w:tcPr>
            <w:tcW w:w="113" w:type="dxa"/>
            <w:tcBorders/>
            <w:shd w:fill="FFFFFF" w:val="clear"/>
            <w:vAlign w:val="center"/>
          </w:tcPr>
          <w:p>
            <w:pPr>
              <w:pStyle w:val="TableContents"/>
              <w:bidi w:val="0"/>
              <w:spacing w:before="0" w:after="283"/>
              <w:jc w:val="left"/>
              <w:rPr/>
            </w:pPr>
            <w:r>
              <w:rPr/>
              <w:t>)</w:t>
            </w:r>
            <w:bookmarkStart w:id="189" w:name="xdx_408_eus-gaap--PreferredStockDividend"/>
            <w:bookmarkEnd w:id="189"/>
          </w:p>
        </w:tc>
      </w:tr>
      <w:tr>
        <w:trPr/>
        <w:tc>
          <w:tcPr>
            <w:tcW w:w="6623" w:type="dxa"/>
            <w:tcBorders/>
            <w:shd w:fill="CCEEFF" w:val="clear"/>
            <w:vAlign w:val="center"/>
          </w:tcPr>
          <w:p>
            <w:pPr>
              <w:pStyle w:val="TableContents"/>
              <w:bidi w:val="0"/>
              <w:spacing w:before="0" w:after="283"/>
              <w:jc w:val="left"/>
              <w:rPr/>
            </w:pPr>
            <w:r>
              <w:rPr/>
              <w:t>Preferred stock deemed dividend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113" w:type="dxa"/>
            <w:tcBorders/>
            <w:shd w:fill="CCEEFF" w:val="clear"/>
            <w:vAlign w:val="center"/>
          </w:tcPr>
          <w:p>
            <w:pPr>
              <w:pStyle w:val="TableContents"/>
              <w:bidi w:val="0"/>
              <w:spacing w:before="0" w:after="283"/>
              <w:jc w:val="left"/>
              <w:rPr/>
            </w:pPr>
            <w:r>
              <w:rPr/>
              <w:t>)</w:t>
            </w:r>
            <w:bookmarkStart w:id="190" w:name="xdx_40F_eus-gaap--NetIncomeLossAvailable"/>
            <w:bookmarkEnd w:id="190"/>
          </w:p>
        </w:tc>
      </w:tr>
      <w:tr>
        <w:trPr/>
        <w:tc>
          <w:tcPr>
            <w:tcW w:w="6623" w:type="dxa"/>
            <w:tcBorders/>
            <w:shd w:fill="FFFFFF" w:val="clear"/>
            <w:vAlign w:val="center"/>
          </w:tcPr>
          <w:p>
            <w:pPr>
              <w:pStyle w:val="TableContents"/>
              <w:bidi w:val="0"/>
              <w:spacing w:before="0" w:after="283"/>
              <w:jc w:val="left"/>
              <w:rPr>
                <w:b/>
              </w:rPr>
            </w:pPr>
            <w:r>
              <w:rPr>
                <w:b/>
              </w:rPr>
              <w:t>Net loss attributed to Streamex Corp. Common Shareholders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(462,786</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(10,513</w:t>
            </w:r>
          </w:p>
        </w:tc>
        <w:tc>
          <w:tcPr>
            <w:tcW w:w="113" w:type="dxa"/>
            <w:tcBorders/>
            <w:shd w:fill="FFFFFF" w:val="clear"/>
            <w:vAlign w:val="center"/>
          </w:tcPr>
          <w:p>
            <w:pPr>
              <w:pStyle w:val="TableContents"/>
              <w:bidi w:val="0"/>
              <w:spacing w:before="0" w:after="283"/>
              <w:jc w:val="left"/>
              <w:rPr>
                <w:b/>
              </w:rPr>
            </w:pPr>
            <w:r>
              <w:rPr>
                <w:b/>
              </w:rPr>
              <w:t>)</w:t>
            </w:r>
          </w:p>
        </w:tc>
      </w:tr>
      <w:tr>
        <w:trPr/>
        <w:tc>
          <w:tcPr>
            <w:tcW w:w="6623" w:type="dxa"/>
            <w:tcBorders/>
            <w:shd w:fill="CCEEFF" w:val="clear"/>
            <w:vAlign w:val="center"/>
          </w:tcPr>
          <w:p>
            <w:pPr>
              <w:pStyle w:val="TableContents"/>
              <w:bidi w:val="0"/>
              <w:spacing w:before="0" w:after="283"/>
              <w:jc w:val="left"/>
              <w:rPr>
                <w:b/>
              </w:rPr>
            </w:pPr>
            <w:r>
              <w:rPr>
                <w:b/>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91" w:name="xdx_904_eus-gaap--EarningsPerShareDilute"/>
            <w:bookmarkStart w:id="192" w:name="xdx_905_eus-gaap--EarningsPerShareBasic_"/>
            <w:bookmarkEnd w:id="191"/>
            <w:bookmarkEnd w:id="192"/>
            <w:r>
              <w:rPr>
                <w:b/>
              </w:rPr>
              <w:t>(9.65</w:t>
            </w:r>
          </w:p>
        </w:tc>
        <w:tc>
          <w:tcPr>
            <w:tcW w:w="122" w:type="dxa"/>
            <w:tcBorders/>
            <w:shd w:fill="CCEEFF" w:val="clear"/>
            <w:vAlign w:val="center"/>
          </w:tcPr>
          <w:p>
            <w:pPr>
              <w:pStyle w:val="TableContents"/>
              <w:bidi w:val="0"/>
              <w:spacing w:before="0" w:after="283"/>
              <w:jc w:val="left"/>
              <w:rPr>
                <w:b/>
              </w:rPr>
            </w:pPr>
            <w:r>
              <w:rPr>
                <w:b/>
              </w:rPr>
              <w:t>)</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193" w:name="xdx_900_eus-gaap--EarningsPerShareDilute"/>
            <w:bookmarkStart w:id="194" w:name="xdx_901_eus-gaap--EarningsPerShareBasic_"/>
            <w:bookmarkEnd w:id="193"/>
            <w:bookmarkEnd w:id="194"/>
            <w:r>
              <w:rPr>
                <w:b/>
              </w:rPr>
              <w:t>(0.75</w:t>
            </w:r>
          </w:p>
        </w:tc>
        <w:tc>
          <w:tcPr>
            <w:tcW w:w="113" w:type="dxa"/>
            <w:tcBorders/>
            <w:shd w:fill="CCEEFF" w:val="clear"/>
            <w:vAlign w:val="center"/>
          </w:tcPr>
          <w:p>
            <w:pPr>
              <w:pStyle w:val="TableContents"/>
              <w:bidi w:val="0"/>
              <w:spacing w:before="0" w:after="283"/>
              <w:jc w:val="left"/>
              <w:rPr>
                <w:b/>
              </w:rPr>
            </w:pPr>
            <w:r>
              <w:rPr>
                <w:b/>
              </w:rPr>
              <w:t>)</w:t>
            </w:r>
          </w:p>
        </w:tc>
      </w:tr>
      <w:tr>
        <w:trPr/>
        <w:tc>
          <w:tcPr>
            <w:tcW w:w="6623" w:type="dxa"/>
            <w:tcBorders/>
            <w:shd w:fill="FFFFFF" w:val="clear"/>
            <w:vAlign w:val="center"/>
          </w:tcPr>
          <w:p>
            <w:pPr>
              <w:pStyle w:val="TableContents"/>
              <w:bidi w:val="0"/>
              <w:spacing w:before="0" w:after="283"/>
              <w:jc w:val="left"/>
              <w:rPr/>
            </w:pPr>
            <w:r>
              <w:rPr/>
              <w:t>Weighted average number of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95" w:name="xdx_909_eus-gaap--WeightedAverageNumberO"/>
            <w:bookmarkStart w:id="196" w:name="xdx_900_eus-gaap--WeightedAverageNumberO"/>
            <w:bookmarkEnd w:id="195"/>
            <w:bookmarkEnd w:id="196"/>
            <w:r>
              <w:rPr/>
              <w:t>47,966,169</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97" w:name="xdx_909_eus-gaap--WeightedAverageNumberO"/>
            <w:bookmarkStart w:id="198" w:name="xdx_90B_eus-gaap--WeightedAverageNumberO"/>
            <w:bookmarkEnd w:id="197"/>
            <w:bookmarkEnd w:id="198"/>
            <w:r>
              <w:rPr/>
              <w:t>14,041,748</w:t>
            </w:r>
          </w:p>
        </w:tc>
        <w:tc>
          <w:tcPr>
            <w:tcW w:w="113" w:type="dxa"/>
            <w:tcBorders/>
            <w:shd w:fill="FFFFFF" w:val="clear"/>
            <w:vAlign w:val="center"/>
          </w:tcPr>
          <w:p>
            <w:pPr>
              <w:pStyle w:val="TableContents"/>
              <w:bidi w:val="0"/>
              <w:spacing w:before="0" w:after="283"/>
              <w:jc w:val="left"/>
              <w:rPr/>
            </w:pPr>
            <w:r>
              <w:rPr/>
              <w:t> </w:t>
            </w:r>
          </w:p>
        </w:tc>
      </w:tr>
      <w:tr>
        <w:trPr/>
        <w:tc>
          <w:tcPr>
            <w:tcW w:w="6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9" w:name="xdx_40F_eus-gaap--OtherComprehensiveInco"/>
            <w:bookmarkEnd w:id="199"/>
          </w:p>
        </w:tc>
      </w:tr>
      <w:tr>
        <w:trPr/>
        <w:tc>
          <w:tcPr>
            <w:tcW w:w="6623" w:type="dxa"/>
            <w:tcBorders/>
            <w:shd w:fill="FFFFFF" w:val="clear"/>
            <w:vAlign w:val="center"/>
          </w:tcPr>
          <w:p>
            <w:pPr>
              <w:pStyle w:val="TableContents"/>
              <w:bidi w:val="0"/>
              <w:spacing w:before="0" w:after="283"/>
              <w:jc w:val="left"/>
              <w:rPr>
                <w:b/>
              </w:rPr>
            </w:pPr>
            <w:r>
              <w:rPr>
                <w:b/>
              </w:rPr>
              <w:t>Comprehensive (Loss) Income: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0" w:name="xdx_40D_eus-gaap--ProfitLoss_iT_maCINOTz"/>
            <w:bookmarkEnd w:id="200"/>
          </w:p>
        </w:tc>
      </w:tr>
      <w:tr>
        <w:trPr/>
        <w:tc>
          <w:tcPr>
            <w:tcW w:w="662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(462,760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(10,339</w:t>
            </w:r>
          </w:p>
        </w:tc>
        <w:tc>
          <w:tcPr>
            <w:tcW w:w="113" w:type="dxa"/>
            <w:tcBorders/>
            <w:shd w:fill="CCEEFF" w:val="clear"/>
            <w:vAlign w:val="center"/>
          </w:tcPr>
          <w:p>
            <w:pPr>
              <w:pStyle w:val="TableContents"/>
              <w:bidi w:val="0"/>
              <w:spacing w:before="0" w:after="283"/>
              <w:jc w:val="left"/>
              <w:rPr/>
            </w:pPr>
            <w:r>
              <w:rPr/>
              <w:t>)</w:t>
            </w:r>
          </w:p>
        </w:tc>
      </w:tr>
      <w:tr>
        <w:trPr/>
        <w:tc>
          <w:tcPr>
            <w:tcW w:w="6623"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1" w:name="xdx_40C_eus-gaap--OtherComprehensiveInco"/>
            <w:bookmarkEnd w:id="201"/>
          </w:p>
        </w:tc>
      </w:tr>
      <w:tr>
        <w:trPr/>
        <w:tc>
          <w:tcPr>
            <w:tcW w:w="6623" w:type="dxa"/>
            <w:tcBorders/>
            <w:shd w:fill="CCEEFF" w:val="clear"/>
            <w:vAlign w:val="center"/>
          </w:tcPr>
          <w:p>
            <w:pPr>
              <w:pStyle w:val="TableContents"/>
              <w:bidi w:val="0"/>
              <w:spacing w:before="0" w:after="283"/>
              <w:jc w:val="left"/>
              <w:rPr/>
            </w:pPr>
            <w:r>
              <w:rPr/>
              <w:t>Change in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814</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202" w:name="xdx_402_eus-gaap--ComprehensiveIncomeNet"/>
            <w:bookmarkEnd w:id="202"/>
          </w:p>
        </w:tc>
      </w:tr>
      <w:tr>
        <w:trPr/>
        <w:tc>
          <w:tcPr>
            <w:tcW w:w="6623"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(461,946</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(10,339</w:t>
            </w:r>
          </w:p>
        </w:tc>
        <w:tc>
          <w:tcPr>
            <w:tcW w:w="113" w:type="dxa"/>
            <w:tcBorders/>
            <w:shd w:fill="FFFFFF" w:val="clear"/>
            <w:vAlign w:val="center"/>
          </w:tcPr>
          <w:p>
            <w:pPr>
              <w:pStyle w:val="TableContents"/>
              <w:bidi w:val="0"/>
              <w:spacing w:before="0" w:after="283"/>
              <w:jc w:val="left"/>
              <w:rPr/>
            </w:pPr>
            <w:r>
              <w:rPr/>
              <w:t>)</w:t>
            </w:r>
            <w:bookmarkStart w:id="203" w:name="xdx_406_eus-gaap--ComprehensiveIncomeNet"/>
            <w:bookmarkEnd w:id="203"/>
          </w:p>
        </w:tc>
      </w:tr>
      <w:tr>
        <w:trPr/>
        <w:tc>
          <w:tcPr>
            <w:tcW w:w="6623" w:type="dxa"/>
            <w:tcBorders/>
            <w:shd w:fill="CCEEFF" w:val="clear"/>
            <w:vAlign w:val="center"/>
          </w:tcPr>
          <w:p>
            <w:pPr>
              <w:pStyle w:val="TableContents"/>
              <w:bidi w:val="0"/>
              <w:spacing w:before="0" w:after="283"/>
              <w:jc w:val="left"/>
              <w:rPr/>
            </w:pPr>
            <w:r>
              <w:rPr/>
              <w:t>Comprehensive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3" w:type="dxa"/>
            <w:tcBorders/>
            <w:shd w:fill="CCEEFF" w:val="clear"/>
            <w:vAlign w:val="center"/>
          </w:tcPr>
          <w:p>
            <w:pPr>
              <w:pStyle w:val="TableContents"/>
              <w:bidi w:val="0"/>
              <w:spacing w:before="0" w:after="283"/>
              <w:jc w:val="left"/>
              <w:rPr/>
            </w:pPr>
            <w:r>
              <w:rPr/>
              <w:t> </w:t>
            </w:r>
            <w:bookmarkStart w:id="204" w:name="xdx_40F_eus-gaap--ComprehensiveIncomeNet"/>
            <w:bookmarkEnd w:id="204"/>
          </w:p>
        </w:tc>
      </w:tr>
      <w:tr>
        <w:trPr/>
        <w:tc>
          <w:tcPr>
            <w:tcW w:w="6623" w:type="dxa"/>
            <w:tcBorders/>
            <w:shd w:fill="FFFFFF" w:val="clear"/>
            <w:vAlign w:val="center"/>
          </w:tcPr>
          <w:p>
            <w:pPr>
              <w:pStyle w:val="TableContents"/>
              <w:bidi w:val="0"/>
              <w:spacing w:before="0" w:after="283"/>
              <w:jc w:val="left"/>
              <w:rPr>
                <w:b/>
              </w:rPr>
            </w:pPr>
            <w:r>
              <w:rPr>
                <w:b/>
              </w:rPr>
              <w:t>Comprehensive (loss) income attributable to Streamex Corp.</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(461,961</w:t>
            </w:r>
          </w:p>
        </w:tc>
        <w:tc>
          <w:tcPr>
            <w:tcW w:w="122" w:type="dxa"/>
            <w:tcBorders/>
            <w:shd w:fill="FFFFFF" w:val="clear"/>
            <w:vAlign w:val="center"/>
          </w:tcPr>
          <w:p>
            <w:pPr>
              <w:pStyle w:val="TableContents"/>
              <w:bidi w:val="0"/>
              <w:spacing w:before="0" w:after="283"/>
              <w:jc w:val="left"/>
              <w:rPr>
                <w:b/>
              </w:rPr>
            </w:pPr>
            <w:r>
              <w:rPr>
                <w:b/>
              </w:rPr>
              <w:t>)</w:t>
            </w:r>
          </w:p>
        </w:tc>
        <w:tc>
          <w:tcPr>
            <w:tcW w:w="77"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(10,330</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5" w:name="F_005"/>
      <w:bookmarkEnd w:id="205"/>
      <w:r>
        <w:rPr>
          <w:rFonts w:ascii="Times New Roman;Times;Serif" w:hAnsi="Times New Roman;Times;Serif"/>
          <w:b/>
          <w:i w:val="false"/>
          <w:caps w:val="false"/>
          <w:smallCaps w:val="false"/>
          <w:sz w:val="20"/>
        </w:rPr>
        <w:t>CONSOLIDATED STATEMENTS OF CHANGES IN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6" w:name="xdx_303_114_pn3n3_zDoylPXiNJyc"/>
      <w:bookmarkStart w:id="207" w:name="xdx_303_114_pn3n3_zDoylPXiNJyc"/>
      <w:bookmarkEnd w:id="207"/>
    </w:p>
    <w:tbl>
      <w:tblPr>
        <w:tblW w:w="10205" w:type="dxa"/>
        <w:jc w:val="left"/>
        <w:tblInd w:w="0" w:type="dxa"/>
        <w:tblLayout w:type="fixed"/>
        <w:tblCellMar>
          <w:top w:w="0" w:type="dxa"/>
          <w:left w:w="0" w:type="dxa"/>
          <w:bottom w:w="0" w:type="dxa"/>
          <w:right w:w="0" w:type="dxa"/>
        </w:tblCellMar>
      </w:tblPr>
      <w:tblGrid>
        <w:gridCol w:w="1916"/>
        <w:gridCol w:w="60"/>
        <w:gridCol w:w="60"/>
        <w:gridCol w:w="1100"/>
        <w:gridCol w:w="95"/>
        <w:gridCol w:w="60"/>
        <w:gridCol w:w="243"/>
        <w:gridCol w:w="452"/>
        <w:gridCol w:w="60"/>
        <w:gridCol w:w="60"/>
        <w:gridCol w:w="147"/>
        <w:gridCol w:w="841"/>
        <w:gridCol w:w="95"/>
        <w:gridCol w:w="60"/>
        <w:gridCol w:w="155"/>
        <w:gridCol w:w="975"/>
        <w:gridCol w:w="95"/>
        <w:gridCol w:w="60"/>
        <w:gridCol w:w="360"/>
        <w:gridCol w:w="980"/>
        <w:gridCol w:w="60"/>
        <w:gridCol w:w="60"/>
        <w:gridCol w:w="337"/>
        <w:gridCol w:w="628"/>
        <w:gridCol w:w="60"/>
        <w:gridCol w:w="60"/>
        <w:gridCol w:w="140"/>
        <w:gridCol w:w="875"/>
        <w:gridCol w:w="111"/>
      </w:tblGrid>
      <w:tr>
        <w:trPr/>
        <w:tc>
          <w:tcPr>
            <w:tcW w:w="19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08" w:name="xdx_4B1_us-gaap--StatementEquityComponen"/>
            <w:bookmarkEnd w:id="208"/>
          </w:p>
        </w:tc>
        <w:tc>
          <w:tcPr>
            <w:tcW w:w="69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09" w:name="xdx_4B0_us-gaap--StatementEquityComponen"/>
            <w:bookmarkEnd w:id="209"/>
          </w:p>
        </w:tc>
        <w:tc>
          <w:tcPr>
            <w:tcW w:w="988"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0" w:name="xdx_4B2_us-gaap--StatementEquityComponen"/>
            <w:bookmarkEnd w:id="210"/>
          </w:p>
        </w:tc>
        <w:tc>
          <w:tcPr>
            <w:tcW w:w="1130"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1" w:name="xdx_4BE_us-gaap--StatementEquityComponen"/>
            <w:bookmarkEnd w:id="211"/>
          </w:p>
        </w:tc>
        <w:tc>
          <w:tcPr>
            <w:tcW w:w="1340"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2" w:name="xdx_4BB_us-gaap--StatementEquityComponen"/>
            <w:bookmarkEnd w:id="212"/>
          </w:p>
        </w:tc>
        <w:tc>
          <w:tcPr>
            <w:tcW w:w="96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3" w:name="xdx_4B3_zXgzgdhUCVx6"/>
            <w:bookmarkEnd w:id="213"/>
          </w:p>
        </w:tc>
        <w:tc>
          <w:tcPr>
            <w:tcW w:w="101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Other</w:t>
              <w:br/>
              <w:t>Comprehensive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1" w:type="dxa"/>
            <w:tcBorders/>
            <w:vAlign w:val="center"/>
          </w:tcPr>
          <w:p>
            <w:pPr>
              <w:pStyle w:val="TableContents"/>
              <w:bidi w:val="0"/>
              <w:spacing w:before="0" w:after="283"/>
              <w:jc w:val="center"/>
              <w:rPr>
                <w:caps w:val="false"/>
                <w:smallCaps w:val="false"/>
              </w:rPr>
            </w:pPr>
            <w:r>
              <w:rPr>
                <w:caps w:val="false"/>
                <w:smallCaps w:val="false"/>
              </w:rPr>
              <w:t> </w:t>
            </w:r>
            <w:bookmarkStart w:id="214" w:name="xdx_43B_c20250101__20251231_eus-gaap--St"/>
            <w:bookmarkEnd w:id="214"/>
          </w:p>
        </w:tc>
      </w:tr>
      <w:tr>
        <w:trPr/>
        <w:tc>
          <w:tcPr>
            <w:tcW w:w="1916" w:type="dxa"/>
            <w:tcBorders/>
            <w:shd w:fill="CCEEFF" w:val="clear"/>
            <w:vAlign w:val="center"/>
          </w:tcPr>
          <w:p>
            <w:pPr>
              <w:pStyle w:val="TableContents"/>
              <w:bidi w:val="0"/>
              <w:spacing w:before="0" w:after="283"/>
              <w:jc w:val="left"/>
              <w:rPr>
                <w:b/>
              </w:rPr>
            </w:pPr>
            <w:r>
              <w:rPr>
                <w:b/>
              </w:rPr>
              <w:t xml:space="preserve">Balance, December 31, 2024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5" w:name="xdx_987_eus-gaap--SharesOutstanding_iS_p"/>
            <w:bookmarkEnd w:id="21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17,239,096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(255,345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(1,527</w:t>
            </w:r>
          </w:p>
        </w:tc>
        <w:tc>
          <w:tcPr>
            <w:tcW w:w="111" w:type="dxa"/>
            <w:tcBorders/>
            <w:shd w:fill="CCEEFF" w:val="clear"/>
            <w:vAlign w:val="center"/>
          </w:tcPr>
          <w:p>
            <w:pPr>
              <w:pStyle w:val="TableContents"/>
              <w:bidi w:val="0"/>
              <w:spacing w:before="0" w:after="283"/>
              <w:jc w:val="left"/>
              <w:rPr>
                <w:b/>
              </w:rPr>
            </w:pPr>
            <w:r>
              <w:rPr>
                <w:b/>
              </w:rPr>
              <w:t>)</w:t>
            </w:r>
            <w:bookmarkStart w:id="216" w:name="xdx_40A_eus-gaap--AdjustmentsToAdditiona"/>
            <w:bookmarkEnd w:id="216"/>
          </w:p>
        </w:tc>
      </w:tr>
      <w:tr>
        <w:trPr/>
        <w:tc>
          <w:tcPr>
            <w:tcW w:w="1916" w:type="dxa"/>
            <w:tcBorders/>
            <w:shd w:fill="FFFFFF" w:val="clear"/>
            <w:vAlign w:val="center"/>
          </w:tcPr>
          <w:p>
            <w:pPr>
              <w:pStyle w:val="TableContents"/>
              <w:bidi w:val="0"/>
              <w:spacing w:before="0" w:after="283"/>
              <w:jc w:val="left"/>
              <w:rPr/>
            </w:pPr>
            <w:r>
              <w:rPr/>
              <w:t xml:space="preserve">Reclassification of exchangeable share to permanent equity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495,178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495,178</w:t>
            </w:r>
          </w:p>
        </w:tc>
        <w:tc>
          <w:tcPr>
            <w:tcW w:w="111" w:type="dxa"/>
            <w:tcBorders/>
            <w:shd w:fill="FFFFFF" w:val="clear"/>
            <w:vAlign w:val="center"/>
          </w:tcPr>
          <w:p>
            <w:pPr>
              <w:pStyle w:val="TableContents"/>
              <w:bidi w:val="0"/>
              <w:spacing w:before="0" w:after="283"/>
              <w:jc w:val="left"/>
              <w:rPr/>
            </w:pPr>
            <w:r>
              <w:rPr/>
              <w:t> </w:t>
            </w:r>
            <w:bookmarkStart w:id="217" w:name="xdx_407_eus-gaap--StockIssuedDuringPerio"/>
            <w:bookmarkEnd w:id="217"/>
          </w:p>
        </w:tc>
      </w:tr>
      <w:tr>
        <w:trPr/>
        <w:tc>
          <w:tcPr>
            <w:tcW w:w="1916" w:type="dxa"/>
            <w:tcBorders/>
            <w:shd w:fill="CCEEFF" w:val="clear"/>
            <w:vAlign w:val="center"/>
          </w:tcPr>
          <w:p>
            <w:pPr>
              <w:pStyle w:val="TableContents"/>
              <w:bidi w:val="0"/>
              <w:spacing w:before="0" w:after="283"/>
              <w:jc w:val="left"/>
              <w:rPr/>
            </w:pPr>
            <w:r>
              <w:rPr/>
              <w:t xml:space="preserve">Exercise of warrants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8" w:name="xdx_983_eus-gaap--StockIssuedDuringPerio"/>
            <w:bookmarkEnd w:id="218"/>
          </w:p>
        </w:tc>
        <w:tc>
          <w:tcPr>
            <w:tcW w:w="1100" w:type="dxa"/>
            <w:tcBorders/>
            <w:shd w:fill="CCEEFF" w:val="clear"/>
            <w:vAlign w:val="center"/>
          </w:tcPr>
          <w:p>
            <w:pPr>
              <w:pStyle w:val="TableContents"/>
              <w:bidi w:val="0"/>
              <w:spacing w:before="0" w:after="283"/>
              <w:jc w:val="right"/>
              <w:rPr/>
            </w:pPr>
            <w:r>
              <w:rPr/>
              <w:t>1,644,743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219" w:name="xdx_400_eus-gaap--StockIssuedDuringPerio"/>
            <w:bookmarkEnd w:id="219"/>
          </w:p>
        </w:tc>
      </w:tr>
      <w:tr>
        <w:trPr/>
        <w:tc>
          <w:tcPr>
            <w:tcW w:w="1916" w:type="dxa"/>
            <w:tcBorders/>
            <w:shd w:fill="FFFFFF" w:val="clear"/>
            <w:vAlign w:val="center"/>
          </w:tcPr>
          <w:p>
            <w:pPr>
              <w:pStyle w:val="TableContents"/>
              <w:bidi w:val="0"/>
              <w:spacing w:before="0" w:after="283"/>
              <w:jc w:val="left"/>
              <w:rPr/>
            </w:pPr>
            <w:r>
              <w:rPr/>
              <w:t xml:space="preserve">Stock based compensation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0" w:name="xdx_985_eus-gaap--StockIssuedDuringPerio"/>
            <w:bookmarkEnd w:id="220"/>
          </w:p>
        </w:tc>
        <w:tc>
          <w:tcPr>
            <w:tcW w:w="1100" w:type="dxa"/>
            <w:tcBorders/>
            <w:shd w:fill="FFFFFF" w:val="clear"/>
            <w:vAlign w:val="center"/>
          </w:tcPr>
          <w:p>
            <w:pPr>
              <w:pStyle w:val="TableContents"/>
              <w:bidi w:val="0"/>
              <w:spacing w:before="0" w:after="283"/>
              <w:jc w:val="right"/>
              <w:rPr/>
            </w:pPr>
            <w:r>
              <w:rPr/>
              <w:t>17,523,148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72,071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72,089</w:t>
            </w:r>
          </w:p>
        </w:tc>
        <w:tc>
          <w:tcPr>
            <w:tcW w:w="111" w:type="dxa"/>
            <w:tcBorders/>
            <w:shd w:fill="FFFFFF" w:val="clear"/>
            <w:vAlign w:val="center"/>
          </w:tcPr>
          <w:p>
            <w:pPr>
              <w:pStyle w:val="TableContents"/>
              <w:bidi w:val="0"/>
              <w:spacing w:before="0" w:after="283"/>
              <w:jc w:val="left"/>
              <w:rPr/>
            </w:pPr>
            <w:r>
              <w:rPr/>
              <w:t> </w:t>
            </w:r>
            <w:bookmarkStart w:id="221" w:name="xdx_402_eus-gaap--StockIssuedDuringPerio"/>
            <w:bookmarkEnd w:id="221"/>
          </w:p>
        </w:tc>
      </w:tr>
      <w:tr>
        <w:trPr/>
        <w:tc>
          <w:tcPr>
            <w:tcW w:w="1916" w:type="dxa"/>
            <w:tcBorders/>
            <w:shd w:fill="CCEEFF" w:val="clear"/>
            <w:vAlign w:val="center"/>
          </w:tcPr>
          <w:p>
            <w:pPr>
              <w:pStyle w:val="TableContents"/>
              <w:bidi w:val="0"/>
              <w:spacing w:before="0" w:after="283"/>
              <w:jc w:val="left"/>
              <w:rPr/>
            </w:pPr>
            <w:r>
              <w:rPr/>
              <w:t xml:space="preserve">Sale of common stock under at-the- market offering, net of transaction costs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2" w:name="xdx_984_eus-gaap--StockIssuedDuringPerio"/>
            <w:bookmarkEnd w:id="222"/>
          </w:p>
        </w:tc>
        <w:tc>
          <w:tcPr>
            <w:tcW w:w="1100" w:type="dxa"/>
            <w:tcBorders/>
            <w:shd w:fill="CCEEFF" w:val="clear"/>
            <w:vAlign w:val="center"/>
          </w:tcPr>
          <w:p>
            <w:pPr>
              <w:pStyle w:val="TableContents"/>
              <w:bidi w:val="0"/>
              <w:spacing w:before="0" w:after="283"/>
              <w:jc w:val="right"/>
              <w:rPr/>
            </w:pPr>
            <w:r>
              <w:rPr/>
              <w:t>8,255,315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17,447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17,455</w:t>
            </w:r>
          </w:p>
        </w:tc>
        <w:tc>
          <w:tcPr>
            <w:tcW w:w="111" w:type="dxa"/>
            <w:tcBorders/>
            <w:shd w:fill="CCEEFF" w:val="clear"/>
            <w:vAlign w:val="center"/>
          </w:tcPr>
          <w:p>
            <w:pPr>
              <w:pStyle w:val="TableContents"/>
              <w:bidi w:val="0"/>
              <w:spacing w:before="0" w:after="283"/>
              <w:jc w:val="left"/>
              <w:rPr/>
            </w:pPr>
            <w:r>
              <w:rPr/>
              <w:t> </w:t>
            </w:r>
            <w:bookmarkStart w:id="223" w:name="xdx_40F_ecustom--StockIssuedDuringPeriod"/>
            <w:bookmarkEnd w:id="223"/>
          </w:p>
        </w:tc>
      </w:tr>
      <w:tr>
        <w:trPr/>
        <w:tc>
          <w:tcPr>
            <w:tcW w:w="1916" w:type="dxa"/>
            <w:tcBorders/>
            <w:shd w:fill="FFFFFF" w:val="clear"/>
            <w:vAlign w:val="center"/>
          </w:tcPr>
          <w:p>
            <w:pPr>
              <w:pStyle w:val="TableContents"/>
              <w:bidi w:val="0"/>
              <w:spacing w:before="0" w:after="283"/>
              <w:jc w:val="left"/>
              <w:rPr/>
            </w:pPr>
            <w:r>
              <w:rPr/>
              <w:t xml:space="preserve">Common stock issued for investment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4" w:name="xdx_981_ecustom--StockIssuedDuringPeriod"/>
            <w:bookmarkEnd w:id="224"/>
          </w:p>
        </w:tc>
        <w:tc>
          <w:tcPr>
            <w:tcW w:w="1100" w:type="dxa"/>
            <w:tcBorders/>
            <w:shd w:fill="FFFFFF" w:val="clear"/>
            <w:vAlign w:val="center"/>
          </w:tcPr>
          <w:p>
            <w:pPr>
              <w:pStyle w:val="TableContents"/>
              <w:bidi w:val="0"/>
              <w:spacing w:before="0" w:after="283"/>
              <w:jc w:val="right"/>
              <w:rPr/>
            </w:pPr>
            <w:r>
              <w:rPr/>
              <w:t>2,443,750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10,482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10,484</w:t>
            </w:r>
          </w:p>
        </w:tc>
        <w:tc>
          <w:tcPr>
            <w:tcW w:w="111" w:type="dxa"/>
            <w:tcBorders/>
            <w:shd w:fill="FFFFFF" w:val="clear"/>
            <w:vAlign w:val="center"/>
          </w:tcPr>
          <w:p>
            <w:pPr>
              <w:pStyle w:val="TableContents"/>
              <w:bidi w:val="0"/>
              <w:spacing w:before="0" w:after="283"/>
              <w:jc w:val="left"/>
              <w:rPr/>
            </w:pPr>
            <w:r>
              <w:rPr/>
              <w:t> </w:t>
            </w:r>
            <w:bookmarkStart w:id="225" w:name="xdx_401_eus-gaap--StockIssuedDuringPerio"/>
            <w:bookmarkEnd w:id="225"/>
          </w:p>
        </w:tc>
      </w:tr>
      <w:tr>
        <w:trPr/>
        <w:tc>
          <w:tcPr>
            <w:tcW w:w="1916" w:type="dxa"/>
            <w:tcBorders/>
            <w:shd w:fill="CCEEFF" w:val="clear"/>
            <w:vAlign w:val="center"/>
          </w:tcPr>
          <w:p>
            <w:pPr>
              <w:pStyle w:val="TableContents"/>
              <w:bidi w:val="0"/>
              <w:spacing w:before="0" w:after="283"/>
              <w:jc w:val="left"/>
              <w:rPr/>
            </w:pPr>
            <w:r>
              <w:rPr/>
              <w:t xml:space="preserve">Sale of common stock and warrants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6" w:name="xdx_984_eus-gaap--StockIssuedDuringPerio"/>
            <w:bookmarkEnd w:id="226"/>
          </w:p>
        </w:tc>
        <w:tc>
          <w:tcPr>
            <w:tcW w:w="1100" w:type="dxa"/>
            <w:tcBorders/>
            <w:shd w:fill="CCEEFF" w:val="clear"/>
            <w:vAlign w:val="center"/>
          </w:tcPr>
          <w:p>
            <w:pPr>
              <w:pStyle w:val="TableContents"/>
              <w:bidi w:val="0"/>
              <w:spacing w:before="0" w:after="283"/>
              <w:jc w:val="right"/>
              <w:rPr/>
            </w:pPr>
            <w:r>
              <w:rPr/>
              <w:t>758,514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818</w:t>
            </w:r>
          </w:p>
        </w:tc>
        <w:tc>
          <w:tcPr>
            <w:tcW w:w="111" w:type="dxa"/>
            <w:tcBorders/>
            <w:shd w:fill="CCEEFF" w:val="clear"/>
            <w:vAlign w:val="center"/>
          </w:tcPr>
          <w:p>
            <w:pPr>
              <w:pStyle w:val="TableContents"/>
              <w:bidi w:val="0"/>
              <w:spacing w:before="0" w:after="283"/>
              <w:jc w:val="left"/>
              <w:rPr/>
            </w:pPr>
            <w:r>
              <w:rPr/>
              <w:t> </w:t>
            </w:r>
            <w:bookmarkStart w:id="227" w:name="xdx_403_eus-gaap--StockIssuedDuringPerio"/>
            <w:bookmarkEnd w:id="227"/>
          </w:p>
        </w:tc>
      </w:tr>
      <w:tr>
        <w:trPr/>
        <w:tc>
          <w:tcPr>
            <w:tcW w:w="1916" w:type="dxa"/>
            <w:tcBorders/>
            <w:shd w:fill="FFFFFF" w:val="clear"/>
            <w:vAlign w:val="center"/>
          </w:tcPr>
          <w:p>
            <w:pPr>
              <w:pStyle w:val="TableContents"/>
              <w:bidi w:val="0"/>
              <w:spacing w:before="0" w:after="283"/>
              <w:jc w:val="left"/>
              <w:rPr/>
            </w:pPr>
            <w:r>
              <w:rPr/>
              <w:t>Conversion of exchangeable shares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8" w:name="xdx_987_eus-gaap--StockIssuedDuringPerio"/>
            <w:bookmarkEnd w:id="228"/>
          </w:p>
        </w:tc>
        <w:tc>
          <w:tcPr>
            <w:tcW w:w="1100" w:type="dxa"/>
            <w:tcBorders/>
            <w:shd w:fill="FFFFFF" w:val="clear"/>
            <w:vAlign w:val="center"/>
          </w:tcPr>
          <w:p>
            <w:pPr>
              <w:pStyle w:val="TableContents"/>
              <w:bidi w:val="0"/>
              <w:spacing w:before="0" w:after="283"/>
              <w:jc w:val="right"/>
              <w:rPr/>
            </w:pPr>
            <w:r>
              <w:rPr/>
              <w:t>1,078,108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bookmarkStart w:id="229" w:name="xdx_40D_ecustom--StockIssuedDuringPeriod"/>
            <w:bookmarkEnd w:id="229"/>
          </w:p>
        </w:tc>
      </w:tr>
      <w:tr>
        <w:trPr/>
        <w:tc>
          <w:tcPr>
            <w:tcW w:w="1916" w:type="dxa"/>
            <w:tcBorders/>
            <w:shd w:fill="CCEEFF" w:val="clear"/>
            <w:vAlign w:val="center"/>
          </w:tcPr>
          <w:p>
            <w:pPr>
              <w:pStyle w:val="TableContents"/>
              <w:bidi w:val="0"/>
              <w:spacing w:before="0" w:after="283"/>
              <w:jc w:val="left"/>
              <w:rPr/>
            </w:pPr>
            <w:r>
              <w:rPr/>
              <w:t xml:space="preserve">Common stock issued to settle accounts payable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0" w:name="xdx_98B_ecustom--StockIssuedDuringPeriod"/>
            <w:bookmarkEnd w:id="230"/>
          </w:p>
        </w:tc>
        <w:tc>
          <w:tcPr>
            <w:tcW w:w="1100" w:type="dxa"/>
            <w:tcBorders/>
            <w:shd w:fill="CCEEFF" w:val="clear"/>
            <w:vAlign w:val="center"/>
          </w:tcPr>
          <w:p>
            <w:pPr>
              <w:pStyle w:val="TableContents"/>
              <w:bidi w:val="0"/>
              <w:spacing w:before="0" w:after="283"/>
              <w:jc w:val="right"/>
              <w:rPr/>
            </w:pPr>
            <w:r>
              <w:rPr/>
              <w:t>1,135,000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683</w:t>
            </w:r>
          </w:p>
        </w:tc>
        <w:tc>
          <w:tcPr>
            <w:tcW w:w="111" w:type="dxa"/>
            <w:tcBorders/>
            <w:shd w:fill="CCEEFF" w:val="clear"/>
            <w:vAlign w:val="center"/>
          </w:tcPr>
          <w:p>
            <w:pPr>
              <w:pStyle w:val="TableContents"/>
              <w:bidi w:val="0"/>
              <w:spacing w:before="0" w:after="283"/>
              <w:jc w:val="left"/>
              <w:rPr/>
            </w:pPr>
            <w:r>
              <w:rPr/>
              <w:t> </w:t>
            </w:r>
            <w:bookmarkStart w:id="231" w:name="xdx_406_eus-gaap--AdjustmentsToAdditiona"/>
            <w:bookmarkEnd w:id="231"/>
          </w:p>
        </w:tc>
      </w:tr>
      <w:tr>
        <w:trPr/>
        <w:tc>
          <w:tcPr>
            <w:tcW w:w="1916" w:type="dxa"/>
            <w:tcBorders/>
            <w:shd w:fill="FFFFFF" w:val="clear"/>
            <w:vAlign w:val="center"/>
          </w:tcPr>
          <w:p>
            <w:pPr>
              <w:pStyle w:val="TableContents"/>
              <w:bidi w:val="0"/>
              <w:spacing w:before="0" w:after="283"/>
              <w:jc w:val="left"/>
              <w:rPr/>
            </w:pPr>
            <w:r>
              <w:rPr/>
              <w:t xml:space="preserve">Preferred stock dividend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w:t>
            </w:r>
          </w:p>
        </w:tc>
        <w:tc>
          <w:tcPr>
            <w:tcW w:w="111" w:type="dxa"/>
            <w:tcBorders/>
            <w:shd w:fill="FFFFFF" w:val="clear"/>
            <w:vAlign w:val="center"/>
          </w:tcPr>
          <w:p>
            <w:pPr>
              <w:pStyle w:val="TableContents"/>
              <w:bidi w:val="0"/>
              <w:spacing w:before="0" w:after="283"/>
              <w:jc w:val="left"/>
              <w:rPr/>
            </w:pPr>
            <w:r>
              <w:rPr/>
              <w:t>)</w:t>
            </w:r>
            <w:bookmarkStart w:id="232" w:name="xdx_407_ecustom--StockIssuedDuringPeriod"/>
            <w:bookmarkEnd w:id="232"/>
          </w:p>
        </w:tc>
      </w:tr>
      <w:tr>
        <w:trPr/>
        <w:tc>
          <w:tcPr>
            <w:tcW w:w="1916" w:type="dxa"/>
            <w:tcBorders/>
            <w:shd w:fill="CCEEFF" w:val="clear"/>
            <w:vAlign w:val="center"/>
          </w:tcPr>
          <w:p>
            <w:pPr>
              <w:pStyle w:val="TableContents"/>
              <w:bidi w:val="0"/>
              <w:spacing w:before="0" w:after="283"/>
              <w:jc w:val="left"/>
              <w:rPr/>
            </w:pPr>
            <w:r>
              <w:rPr/>
              <w:t xml:space="preserve">Common stock cancelled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3" w:name="xdx_989_ecustom--StockIssuedDuringPeriod"/>
            <w:bookmarkEnd w:id="233"/>
          </w:p>
        </w:tc>
        <w:tc>
          <w:tcPr>
            <w:tcW w:w="1100" w:type="dxa"/>
            <w:tcBorders/>
            <w:shd w:fill="CCEEFF" w:val="clear"/>
            <w:vAlign w:val="center"/>
          </w:tcPr>
          <w:p>
            <w:pPr>
              <w:pStyle w:val="TableContents"/>
              <w:bidi w:val="0"/>
              <w:spacing w:before="0" w:after="283"/>
              <w:jc w:val="right"/>
              <w:rPr/>
            </w:pPr>
            <w:r>
              <w:rPr/>
              <w:t>(272,399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bookmarkStart w:id="234" w:name="xdx_F27_zlXqprpjQsS1"/>
            <w:bookmarkEnd w:id="234"/>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235" w:name="xdx_401_ecustom--OtherComprehensiveIncom"/>
            <w:bookmarkEnd w:id="235"/>
          </w:p>
        </w:tc>
      </w:tr>
      <w:tr>
        <w:trPr/>
        <w:tc>
          <w:tcPr>
            <w:tcW w:w="1916" w:type="dxa"/>
            <w:tcBorders/>
            <w:shd w:fill="FFFFFF" w:val="clear"/>
            <w:vAlign w:val="center"/>
          </w:tcPr>
          <w:p>
            <w:pPr>
              <w:pStyle w:val="TableContents"/>
              <w:bidi w:val="0"/>
              <w:spacing w:before="0" w:after="283"/>
              <w:jc w:val="left"/>
              <w:rPr/>
            </w:pPr>
            <w:r>
              <w:rPr/>
              <w:t xml:space="preserve">Other comprehensive income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814</w:t>
            </w:r>
          </w:p>
        </w:tc>
        <w:tc>
          <w:tcPr>
            <w:tcW w:w="111" w:type="dxa"/>
            <w:tcBorders/>
            <w:shd w:fill="FFFFFF" w:val="clear"/>
            <w:vAlign w:val="center"/>
          </w:tcPr>
          <w:p>
            <w:pPr>
              <w:pStyle w:val="TableContents"/>
              <w:bidi w:val="0"/>
              <w:spacing w:before="0" w:after="283"/>
              <w:jc w:val="left"/>
              <w:rPr/>
            </w:pPr>
            <w:r>
              <w:rPr/>
              <w:t> </w:t>
            </w:r>
            <w:bookmarkStart w:id="236" w:name="xdx_407_eus-gaap--ProfitLoss_zY9OGbbocwC"/>
            <w:bookmarkEnd w:id="236"/>
          </w:p>
        </w:tc>
      </w:tr>
      <w:tr>
        <w:trPr/>
        <w:tc>
          <w:tcPr>
            <w:tcW w:w="1916" w:type="dxa"/>
            <w:tcBorders/>
            <w:shd w:fill="CCEEFF" w:val="clear"/>
            <w:vAlign w:val="center"/>
          </w:tcPr>
          <w:p>
            <w:pPr>
              <w:pStyle w:val="TableContents"/>
              <w:bidi w:val="0"/>
              <w:spacing w:before="0" w:after="283"/>
              <w:jc w:val="left"/>
              <w:rPr/>
            </w:pPr>
            <w:r>
              <w:rPr/>
              <w:t xml:space="preserve">Net loss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(462,775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(462,760</w:t>
            </w:r>
          </w:p>
        </w:tc>
        <w:tc>
          <w:tcPr>
            <w:tcW w:w="111" w:type="dxa"/>
            <w:tcBorders/>
            <w:shd w:fill="CCEEFF" w:val="clear"/>
            <w:vAlign w:val="center"/>
          </w:tcPr>
          <w:p>
            <w:pPr>
              <w:pStyle w:val="TableContents"/>
              <w:bidi w:val="0"/>
              <w:spacing w:before="0" w:after="283"/>
              <w:jc w:val="left"/>
              <w:rPr/>
            </w:pPr>
            <w:r>
              <w:rPr/>
              <w:t>)</w:t>
            </w:r>
            <w:bookmarkStart w:id="237" w:name="xdx_432_c20250101__20251231_eus-gaap--St"/>
            <w:bookmarkEnd w:id="237"/>
          </w:p>
        </w:tc>
      </w:tr>
      <w:tr>
        <w:trPr/>
        <w:tc>
          <w:tcPr>
            <w:tcW w:w="1916" w:type="dxa"/>
            <w:tcBorders/>
            <w:shd w:fill="FFFFFF" w:val="clear"/>
            <w:vAlign w:val="center"/>
          </w:tcPr>
          <w:p>
            <w:pPr>
              <w:pStyle w:val="TableContents"/>
              <w:bidi w:val="0"/>
              <w:spacing w:before="0" w:after="283"/>
              <w:jc w:val="left"/>
              <w:rPr>
                <w:b/>
              </w:rPr>
            </w:pPr>
            <w:r>
              <w:rPr>
                <w:b/>
              </w:rPr>
              <w:t xml:space="preserve">Balance, December 31, 2025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38" w:name="xdx_98C_eus-gaap--SharesOutstanding_iE_p"/>
            <w:bookmarkEnd w:id="23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49,805,275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850,447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(718,120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6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133,223</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9" w:name="xdx_F07_zOSCiJJ1NPDg"/>
            <w:bookmarkEnd w:id="239"/>
            <w:r>
              <w:rPr>
                <w:rFonts w:ascii="Times New Roman;Times;Serif" w:hAnsi="Times New Roman;Times;Serif"/>
                <w:b w:val="false"/>
                <w:i w:val="false"/>
                <w:caps w:val="false"/>
                <w:smallCaps w:val="false"/>
                <w:sz w:val="20"/>
              </w:rPr>
              <w:t>*</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0" w:name="xdx_F16_zJwWaUOFMazj"/>
            <w:bookmarkEnd w:id="240"/>
            <w:r>
              <w:rPr>
                <w:rFonts w:ascii="Times New Roman;Times;Serif" w:hAnsi="Times New Roman;Times;Serif"/>
                <w:b w:val="false"/>
                <w:i w:val="false"/>
                <w:caps w:val="false"/>
                <w:smallCaps w:val="false"/>
                <w:sz w:val="20"/>
              </w:rPr>
              <w:t>- 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0"/>
        <w:gridCol w:w="60"/>
        <w:gridCol w:w="60"/>
        <w:gridCol w:w="1100"/>
        <w:gridCol w:w="60"/>
        <w:gridCol w:w="60"/>
        <w:gridCol w:w="301"/>
        <w:gridCol w:w="559"/>
        <w:gridCol w:w="60"/>
        <w:gridCol w:w="60"/>
        <w:gridCol w:w="163"/>
        <w:gridCol w:w="937"/>
        <w:gridCol w:w="95"/>
        <w:gridCol w:w="60"/>
        <w:gridCol w:w="188"/>
        <w:gridCol w:w="1182"/>
        <w:gridCol w:w="95"/>
        <w:gridCol w:w="60"/>
        <w:gridCol w:w="389"/>
        <w:gridCol w:w="726"/>
        <w:gridCol w:w="95"/>
        <w:gridCol w:w="60"/>
        <w:gridCol w:w="140"/>
        <w:gridCol w:w="755"/>
        <w:gridCol w:w="110"/>
      </w:tblGrid>
      <w:tr>
        <w:trPr/>
        <w:tc>
          <w:tcPr>
            <w:tcW w:w="2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1" w:name="xdx_4B1_us-gaap--StatementEquityComponen"/>
            <w:bookmarkEnd w:id="241"/>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2" w:name="xdx_4B1_us-gaap--StatementEquityComponen"/>
            <w:bookmarkEnd w:id="242"/>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3" w:name="xdx_4B5_us-gaap--StatementEquityComponen"/>
            <w:bookmarkEnd w:id="243"/>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4" w:name="xdx_4B9_us-gaap--StatementEquityComponen"/>
            <w:bookmarkEnd w:id="244"/>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45" w:name="xdx_4B3_zny9GCC5g6G"/>
            <w:bookmarkEnd w:id="245"/>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Non-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246" w:name="xdx_438_c20240101__20241231_eus-gaap--St"/>
            <w:bookmarkEnd w:id="246"/>
          </w:p>
        </w:tc>
      </w:tr>
      <w:tr>
        <w:trPr/>
        <w:tc>
          <w:tcPr>
            <w:tcW w:w="2830"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7" w:name="xdx_983_eus-gaap--SharesOutstanding_iS_p"/>
            <w:bookmarkEnd w:id="24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9,040,043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241,988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(245,015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8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(2,992</w:t>
            </w:r>
          </w:p>
        </w:tc>
        <w:tc>
          <w:tcPr>
            <w:tcW w:w="110" w:type="dxa"/>
            <w:tcBorders/>
            <w:shd w:fill="CCEEFF" w:val="clear"/>
            <w:vAlign w:val="center"/>
          </w:tcPr>
          <w:p>
            <w:pPr>
              <w:pStyle w:val="TableContents"/>
              <w:bidi w:val="0"/>
              <w:spacing w:before="0" w:after="283"/>
              <w:jc w:val="left"/>
              <w:rPr>
                <w:b/>
              </w:rPr>
            </w:pPr>
            <w:r>
              <w:rPr>
                <w:b/>
              </w:rPr>
              <w:t>)</w:t>
            </w:r>
            <w:bookmarkStart w:id="248" w:name="xdx_401_eus-gaap--StockIssuedDuringPerio"/>
            <w:bookmarkEnd w:id="248"/>
          </w:p>
        </w:tc>
      </w:tr>
      <w:tr>
        <w:trPr/>
        <w:tc>
          <w:tcPr>
            <w:tcW w:w="2830" w:type="dxa"/>
            <w:tcBorders/>
            <w:shd w:fill="FFFFFF" w:val="clear"/>
            <w:vAlign w:val="center"/>
          </w:tcPr>
          <w:p>
            <w:pPr>
              <w:pStyle w:val="TableContents"/>
              <w:bidi w:val="0"/>
              <w:spacing w:before="0" w:after="283"/>
              <w:jc w:val="left"/>
              <w:rPr/>
            </w:pPr>
            <w:r>
              <w:rPr/>
              <w:t>Sale of common stock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9" w:name="xdx_98E_eus-gaap--StockIssuedDuringPerio"/>
            <w:bookmarkEnd w:id="249"/>
          </w:p>
        </w:tc>
        <w:tc>
          <w:tcPr>
            <w:tcW w:w="1100" w:type="dxa"/>
            <w:tcBorders/>
            <w:shd w:fill="FFFFFF" w:val="clear"/>
            <w:vAlign w:val="center"/>
          </w:tcPr>
          <w:p>
            <w:pPr>
              <w:pStyle w:val="TableContents"/>
              <w:bidi w:val="0"/>
              <w:spacing w:before="0" w:after="283"/>
              <w:jc w:val="right"/>
              <w:rPr/>
            </w:pPr>
            <w:r>
              <w:rPr/>
              <w:t>2,266,185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4,210</w:t>
            </w:r>
          </w:p>
        </w:tc>
        <w:tc>
          <w:tcPr>
            <w:tcW w:w="110" w:type="dxa"/>
            <w:tcBorders/>
            <w:shd w:fill="FFFFFF" w:val="clear"/>
            <w:vAlign w:val="center"/>
          </w:tcPr>
          <w:p>
            <w:pPr>
              <w:pStyle w:val="TableContents"/>
              <w:bidi w:val="0"/>
              <w:spacing w:before="0" w:after="283"/>
              <w:jc w:val="left"/>
              <w:rPr/>
            </w:pPr>
            <w:r>
              <w:rPr/>
              <w:t> </w:t>
            </w:r>
            <w:bookmarkStart w:id="250" w:name="xdx_400_eus-gaap--StockIssuedDuringPerio"/>
            <w:bookmarkEnd w:id="250"/>
          </w:p>
        </w:tc>
      </w:tr>
      <w:tr>
        <w:trPr/>
        <w:tc>
          <w:tcPr>
            <w:tcW w:w="283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1" w:name="xdx_98A_eus-gaap--StockIssuedDuringPerio"/>
            <w:bookmarkEnd w:id="251"/>
          </w:p>
        </w:tc>
        <w:tc>
          <w:tcPr>
            <w:tcW w:w="1100" w:type="dxa"/>
            <w:tcBorders/>
            <w:shd w:fill="CCEEFF" w:val="clear"/>
            <w:vAlign w:val="center"/>
          </w:tcPr>
          <w:p>
            <w:pPr>
              <w:pStyle w:val="TableContents"/>
              <w:bidi w:val="0"/>
              <w:spacing w:before="0" w:after="283"/>
              <w:jc w:val="right"/>
              <w:rPr/>
            </w:pPr>
            <w:r>
              <w:rPr/>
              <w:t>5,466,411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6,957</w:t>
            </w:r>
          </w:p>
        </w:tc>
        <w:tc>
          <w:tcPr>
            <w:tcW w:w="110" w:type="dxa"/>
            <w:tcBorders/>
            <w:shd w:fill="CCEEFF" w:val="clear"/>
            <w:vAlign w:val="center"/>
          </w:tcPr>
          <w:p>
            <w:pPr>
              <w:pStyle w:val="TableContents"/>
              <w:bidi w:val="0"/>
              <w:spacing w:before="0" w:after="283"/>
              <w:jc w:val="left"/>
              <w:rPr/>
            </w:pPr>
            <w:r>
              <w:rPr/>
              <w:t> </w:t>
            </w:r>
            <w:bookmarkStart w:id="252" w:name="xdx_40A_ecustom--AccretionOfDeemedPrefer"/>
            <w:bookmarkEnd w:id="252"/>
          </w:p>
        </w:tc>
      </w:tr>
      <w:tr>
        <w:trPr/>
        <w:tc>
          <w:tcPr>
            <w:tcW w:w="2830" w:type="dxa"/>
            <w:tcBorders/>
            <w:shd w:fill="FFFFFF" w:val="clear"/>
            <w:vAlign w:val="center"/>
          </w:tcPr>
          <w:p>
            <w:pPr>
              <w:pStyle w:val="TableContents"/>
              <w:bidi w:val="0"/>
              <w:spacing w:before="0" w:after="283"/>
              <w:jc w:val="left"/>
              <w:rPr/>
            </w:pPr>
            <w:r>
              <w:rPr/>
              <w:t>Accretion of deemed 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 </w:t>
            </w:r>
            <w:bookmarkStart w:id="253" w:name="xdx_407_ecustom--DeemedPreferredStockDiv"/>
            <w:bookmarkEnd w:id="253"/>
          </w:p>
        </w:tc>
      </w:tr>
      <w:tr>
        <w:trPr/>
        <w:tc>
          <w:tcPr>
            <w:tcW w:w="2830" w:type="dxa"/>
            <w:tcBorders/>
            <w:shd w:fill="CCEEFF" w:val="clear"/>
            <w:vAlign w:val="center"/>
          </w:tcPr>
          <w:p>
            <w:pPr>
              <w:pStyle w:val="TableContents"/>
              <w:bidi w:val="0"/>
              <w:spacing w:before="0" w:after="283"/>
              <w:jc w:val="left"/>
              <w:rPr/>
            </w:pPr>
            <w:r>
              <w:rPr/>
              <w:t>Deemed 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bookmarkStart w:id="254" w:name="xdx_40B_eus-gaap--AdjustmentsToAdditiona"/>
            <w:bookmarkEnd w:id="254"/>
          </w:p>
        </w:tc>
      </w:tr>
      <w:tr>
        <w:trPr/>
        <w:tc>
          <w:tcPr>
            <w:tcW w:w="283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bookmarkStart w:id="255" w:name="xdx_40E_eus-gaap--StockIssuedDuringPerio"/>
            <w:bookmarkEnd w:id="255"/>
          </w:p>
        </w:tc>
      </w:tr>
      <w:tr>
        <w:trPr/>
        <w:tc>
          <w:tcPr>
            <w:tcW w:w="2830" w:type="dxa"/>
            <w:tcBorders/>
            <w:shd w:fill="CCEEFF" w:val="clear"/>
            <w:vAlign w:val="center"/>
          </w:tcPr>
          <w:p>
            <w:pPr>
              <w:pStyle w:val="TableContents"/>
              <w:bidi w:val="0"/>
              <w:spacing w:before="0" w:after="283"/>
              <w:jc w:val="left"/>
              <w:rPr/>
            </w:pPr>
            <w:r>
              <w:rPr/>
              <w:t>Common stock issued in exchange of note payable and accrued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6" w:name="xdx_98F_eus-gaap--StockIssuedDuringPerio"/>
            <w:bookmarkEnd w:id="256"/>
          </w:p>
        </w:tc>
        <w:tc>
          <w:tcPr>
            <w:tcW w:w="1100" w:type="dxa"/>
            <w:tcBorders/>
            <w:shd w:fill="CCEEFF" w:val="clear"/>
            <w:vAlign w:val="center"/>
          </w:tcPr>
          <w:p>
            <w:pPr>
              <w:pStyle w:val="TableContents"/>
              <w:bidi w:val="0"/>
              <w:spacing w:before="0" w:after="283"/>
              <w:jc w:val="right"/>
              <w:rPr/>
            </w:pPr>
            <w:r>
              <w:rPr/>
              <w:t>348,624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bookmarkStart w:id="257" w:name="xdx_F22_zpExEREBZH1e"/>
            <w:bookmarkEnd w:id="25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509</w:t>
            </w:r>
          </w:p>
        </w:tc>
        <w:tc>
          <w:tcPr>
            <w:tcW w:w="110" w:type="dxa"/>
            <w:tcBorders/>
            <w:shd w:fill="CCEEFF" w:val="clear"/>
            <w:vAlign w:val="center"/>
          </w:tcPr>
          <w:p>
            <w:pPr>
              <w:pStyle w:val="TableContents"/>
              <w:bidi w:val="0"/>
              <w:spacing w:before="0" w:after="283"/>
              <w:jc w:val="left"/>
              <w:rPr/>
            </w:pPr>
            <w:r>
              <w:rPr/>
              <w:t> </w:t>
            </w:r>
            <w:bookmarkStart w:id="258" w:name="xdx_404_ecustom--StockIssuedDuringPeriod"/>
            <w:bookmarkEnd w:id="258"/>
          </w:p>
        </w:tc>
      </w:tr>
      <w:tr>
        <w:trPr/>
        <w:tc>
          <w:tcPr>
            <w:tcW w:w="2830" w:type="dxa"/>
            <w:tcBorders/>
            <w:shd w:fill="FFFFFF" w:val="clear"/>
            <w:vAlign w:val="center"/>
          </w:tcPr>
          <w:p>
            <w:pPr>
              <w:pStyle w:val="TableContents"/>
              <w:bidi w:val="0"/>
              <w:spacing w:before="0" w:after="283"/>
              <w:jc w:val="left"/>
              <w:rPr/>
            </w:pPr>
            <w:r>
              <w:rPr/>
              <w:t>Stock issued as forgiveness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9" w:name="xdx_98E_ecustom--StockIssuedDuringPeriod"/>
            <w:bookmarkEnd w:id="259"/>
          </w:p>
        </w:tc>
        <w:tc>
          <w:tcPr>
            <w:tcW w:w="1100"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bookmarkStart w:id="260" w:name="xdx_F24_zh6u5bnUuZT"/>
            <w:bookmarkEnd w:id="26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w:t>
            </w:r>
          </w:p>
        </w:tc>
        <w:tc>
          <w:tcPr>
            <w:tcW w:w="110" w:type="dxa"/>
            <w:tcBorders/>
            <w:shd w:fill="FFFFFF" w:val="clear"/>
            <w:vAlign w:val="center"/>
          </w:tcPr>
          <w:p>
            <w:pPr>
              <w:pStyle w:val="TableContents"/>
              <w:bidi w:val="0"/>
              <w:spacing w:before="0" w:after="283"/>
              <w:jc w:val="left"/>
              <w:rPr/>
            </w:pPr>
            <w:r>
              <w:rPr/>
              <w:t> </w:t>
            </w:r>
            <w:bookmarkStart w:id="261" w:name="xdx_401_ecustom--WarrantModificationExpe"/>
            <w:bookmarkEnd w:id="261"/>
          </w:p>
        </w:tc>
      </w:tr>
      <w:tr>
        <w:trPr/>
        <w:tc>
          <w:tcPr>
            <w:tcW w:w="2830" w:type="dxa"/>
            <w:tcBorders/>
            <w:shd w:fill="CCEEFF" w:val="clear"/>
            <w:vAlign w:val="center"/>
          </w:tcPr>
          <w:p>
            <w:pPr>
              <w:pStyle w:val="TableContents"/>
              <w:bidi w:val="0"/>
              <w:spacing w:before="0" w:after="283"/>
              <w:jc w:val="left"/>
              <w:rPr/>
            </w:pPr>
            <w:r>
              <w:rPr/>
              <w:t>Warrant modifications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bookmarkStart w:id="262" w:name="xdx_40D_eus-gaap--StockIssuedDuringPerio"/>
            <w:bookmarkEnd w:id="262"/>
          </w:p>
        </w:tc>
      </w:tr>
      <w:tr>
        <w:trPr/>
        <w:tc>
          <w:tcPr>
            <w:tcW w:w="283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63" w:name="xdx_988_eus-gaap--StockIssuedDuringPerio"/>
            <w:bookmarkEnd w:id="263"/>
          </w:p>
        </w:tc>
        <w:tc>
          <w:tcPr>
            <w:tcW w:w="1100" w:type="dxa"/>
            <w:tcBorders/>
            <w:shd w:fill="FFFFFF" w:val="clear"/>
            <w:vAlign w:val="center"/>
          </w:tcPr>
          <w:p>
            <w:pPr>
              <w:pStyle w:val="TableContents"/>
              <w:bidi w:val="0"/>
              <w:spacing w:before="0" w:after="283"/>
              <w:jc w:val="right"/>
              <w:rPr/>
            </w:pPr>
            <w:r>
              <w:rPr/>
              <w:t>42,833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bookmarkStart w:id="264" w:name="xdx_F25_z6GQI2MnfTqb"/>
            <w:bookmarkEnd w:id="26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bookmarkStart w:id="265" w:name="xdx_F2A_ztZeUdt0XYgj"/>
            <w:bookmarkEnd w:id="265"/>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6" w:name="xdx_40D_eus-gaap--ProfitLoss_znFhYoxXgJk"/>
            <w:bookmarkEnd w:id="266"/>
          </w:p>
        </w:tc>
      </w:tr>
      <w:tr>
        <w:trPr/>
        <w:tc>
          <w:tcPr>
            <w:tcW w:w="2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(10,339</w:t>
            </w:r>
          </w:p>
        </w:tc>
        <w:tc>
          <w:tcPr>
            <w:tcW w:w="110" w:type="dxa"/>
            <w:tcBorders/>
            <w:shd w:fill="CCEEFF" w:val="clear"/>
            <w:vAlign w:val="center"/>
          </w:tcPr>
          <w:p>
            <w:pPr>
              <w:pStyle w:val="TableContents"/>
              <w:bidi w:val="0"/>
              <w:spacing w:before="0" w:after="283"/>
              <w:jc w:val="left"/>
              <w:rPr/>
            </w:pPr>
            <w:r>
              <w:rPr/>
              <w:t>)</w:t>
            </w:r>
            <w:bookmarkStart w:id="267" w:name="xdx_435_c20240101__20241231_eus-gaap--St"/>
            <w:bookmarkEnd w:id="267"/>
          </w:p>
        </w:tc>
      </w:tr>
      <w:tr>
        <w:trPr/>
        <w:tc>
          <w:tcPr>
            <w:tcW w:w="283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68" w:name="xdx_989_eus-gaap--SharesOutstanding_iE_p"/>
            <w:bookmarkEnd w:id="26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17,239,096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253,784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(255,345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8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(1,527</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69" w:name="xdx_F07_zg1WEcRoOQc6"/>
            <w:bookmarkEnd w:id="269"/>
            <w:r>
              <w:rPr>
                <w:rFonts w:ascii="Times New Roman;Times;Serif" w:hAnsi="Times New Roman;Times;Serif"/>
                <w:b w:val="false"/>
                <w:i w:val="false"/>
                <w:caps w:val="false"/>
                <w:smallCaps w:val="false"/>
                <w:sz w:val="20"/>
              </w:rPr>
              <w:t>*</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70" w:name="xdx_F12_zS1QWmO1aX4c"/>
            <w:bookmarkEnd w:id="270"/>
            <w:r>
              <w:rPr>
                <w:rFonts w:ascii="Times New Roman;Times;Serif" w:hAnsi="Times New Roman;Times;Serif"/>
                <w:b w:val="false"/>
                <w:i w:val="false"/>
                <w:caps w:val="false"/>
                <w:smallCaps w:val="false"/>
                <w:sz w:val="20"/>
              </w:rPr>
              <w:t>- 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1" w:name="F_006"/>
      <w:bookmarkEnd w:id="271"/>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2" w:name="xdx_30E_112_pn3n3_zJDeXsNW9LQk"/>
      <w:bookmarkStart w:id="273" w:name="xdx_30E_112_pn3n3_zJDeXsNW9LQk"/>
      <w:bookmarkEnd w:id="273"/>
    </w:p>
    <w:tbl>
      <w:tblPr>
        <w:tblW w:w="10205" w:type="dxa"/>
        <w:jc w:val="left"/>
        <w:tblInd w:w="0" w:type="dxa"/>
        <w:tblLayout w:type="fixed"/>
        <w:tblCellMar>
          <w:top w:w="0" w:type="dxa"/>
          <w:left w:w="0" w:type="dxa"/>
          <w:bottom w:w="0" w:type="dxa"/>
          <w:right w:w="0" w:type="dxa"/>
        </w:tblCellMar>
      </w:tblPr>
      <w:tblGrid>
        <w:gridCol w:w="6771"/>
        <w:gridCol w:w="60"/>
        <w:gridCol w:w="221"/>
        <w:gridCol w:w="1383"/>
        <w:gridCol w:w="150"/>
        <w:gridCol w:w="94"/>
        <w:gridCol w:w="221"/>
        <w:gridCol w:w="1193"/>
        <w:gridCol w:w="112"/>
      </w:tblGrid>
      <w:tr>
        <w:trPr/>
        <w:tc>
          <w:tcPr>
            <w:tcW w:w="67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4" w:name="xdx_491_20250101__20251231_zApbh3uhcSNb"/>
            <w:bookmarkEnd w:id="274"/>
          </w:p>
        </w:tc>
        <w:tc>
          <w:tcPr>
            <w:tcW w:w="160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bookmarkStart w:id="275" w:name="xdx_498_20240101__20241231_ze57iTcXOJLl"/>
            <w:bookmarkEnd w:id="275"/>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2" w:type="dxa"/>
            <w:tcBorders/>
            <w:vAlign w:val="center"/>
          </w:tcPr>
          <w:p>
            <w:pPr>
              <w:pStyle w:val="TableContents"/>
              <w:bidi w:val="0"/>
              <w:spacing w:before="0" w:after="283"/>
              <w:jc w:val="left"/>
              <w:rPr/>
            </w:pPr>
            <w:r>
              <w:rPr/>
              <w:t> </w:t>
            </w:r>
          </w:p>
        </w:tc>
      </w:tr>
      <w:tr>
        <w:trPr/>
        <w:tc>
          <w:tcPr>
            <w:tcW w:w="6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bookmarkStart w:id="276" w:name="xdx_405_eus-gaap--NetCashProvidedByUsedI"/>
            <w:bookmarkEnd w:id="276"/>
          </w:p>
        </w:tc>
      </w:tr>
      <w:tr>
        <w:trPr/>
        <w:tc>
          <w:tcPr>
            <w:tcW w:w="6771"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7" w:name="xdx_40D_eus-gaap--ProfitLoss_i01_maNCPBU"/>
            <w:bookmarkEnd w:id="277"/>
          </w:p>
        </w:tc>
      </w:tr>
      <w:tr>
        <w:trPr/>
        <w:tc>
          <w:tcPr>
            <w:tcW w:w="6771"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b/>
              </w:rPr>
            </w:pPr>
            <w:r>
              <w:rPr>
                <w:b/>
              </w:rPr>
              <w:t>$</w:t>
            </w:r>
          </w:p>
        </w:tc>
        <w:tc>
          <w:tcPr>
            <w:tcW w:w="1383" w:type="dxa"/>
            <w:tcBorders/>
            <w:shd w:fill="FFFFFF" w:val="clear"/>
            <w:vAlign w:val="center"/>
          </w:tcPr>
          <w:p>
            <w:pPr>
              <w:pStyle w:val="TableContents"/>
              <w:bidi w:val="0"/>
              <w:spacing w:before="0" w:after="283"/>
              <w:jc w:val="right"/>
              <w:rPr>
                <w:b/>
              </w:rPr>
            </w:pPr>
            <w:r>
              <w:rPr>
                <w:b/>
              </w:rPr>
              <w:t>(462,760</w:t>
            </w:r>
          </w:p>
        </w:tc>
        <w:tc>
          <w:tcPr>
            <w:tcW w:w="150" w:type="dxa"/>
            <w:tcBorders/>
            <w:shd w:fill="FFFFFF" w:val="clear"/>
            <w:vAlign w:val="center"/>
          </w:tcPr>
          <w:p>
            <w:pPr>
              <w:pStyle w:val="TableContents"/>
              <w:bidi w:val="0"/>
              <w:spacing w:before="0" w:after="283"/>
              <w:jc w:val="left"/>
              <w:rPr>
                <w:b/>
              </w:rPr>
            </w:pPr>
            <w:r>
              <w:rPr>
                <w:b/>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b/>
              </w:rPr>
            </w:pPr>
            <w:r>
              <w:rPr>
                <w:b/>
              </w:rPr>
              <w:t>$</w:t>
            </w:r>
          </w:p>
        </w:tc>
        <w:tc>
          <w:tcPr>
            <w:tcW w:w="1193" w:type="dxa"/>
            <w:tcBorders/>
            <w:shd w:fill="FFFFFF" w:val="clear"/>
            <w:vAlign w:val="center"/>
          </w:tcPr>
          <w:p>
            <w:pPr>
              <w:pStyle w:val="TableContents"/>
              <w:bidi w:val="0"/>
              <w:spacing w:before="0" w:after="283"/>
              <w:jc w:val="right"/>
              <w:rPr>
                <w:b/>
              </w:rPr>
            </w:pPr>
            <w:r>
              <w:rPr>
                <w:b/>
              </w:rPr>
              <w:t>(10,339</w:t>
            </w:r>
          </w:p>
        </w:tc>
        <w:tc>
          <w:tcPr>
            <w:tcW w:w="112" w:type="dxa"/>
            <w:tcBorders/>
            <w:shd w:fill="FFFFFF" w:val="clear"/>
            <w:vAlign w:val="center"/>
          </w:tcPr>
          <w:p>
            <w:pPr>
              <w:pStyle w:val="TableContents"/>
              <w:bidi w:val="0"/>
              <w:spacing w:before="0" w:after="283"/>
              <w:jc w:val="left"/>
              <w:rPr>
                <w:b/>
              </w:rPr>
            </w:pPr>
            <w:r>
              <w:rPr>
                <w:b/>
              </w:rPr>
              <w:t>)</w:t>
            </w:r>
            <w:bookmarkStart w:id="278" w:name="xdx_40F_eus-gaap--AdjustmentsToReconcile"/>
            <w:bookmarkEnd w:id="278"/>
          </w:p>
        </w:tc>
      </w:tr>
      <w:tr>
        <w:trPr/>
        <w:tc>
          <w:tcPr>
            <w:tcW w:w="6771" w:type="dxa"/>
            <w:tcBorders/>
            <w:shd w:fill="CCEEFF" w:val="clear"/>
            <w:vAlign w:val="center"/>
          </w:tcPr>
          <w:p>
            <w:pPr>
              <w:pStyle w:val="TableContents"/>
              <w:bidi w:val="0"/>
              <w:spacing w:before="0" w:after="283"/>
              <w:jc w:val="left"/>
              <w:rPr/>
            </w:pPr>
            <w:r>
              <w:rPr/>
              <w:t>Adjustments to reconcile net loss to cash used in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9" w:name="xdx_40E_eus-gaap--DepreciationAndAmortiz"/>
            <w:bookmarkEnd w:id="279"/>
          </w:p>
        </w:tc>
      </w:tr>
      <w:tr>
        <w:trPr/>
        <w:tc>
          <w:tcPr>
            <w:tcW w:w="6771"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3,534</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 </w:t>
            </w:r>
            <w:bookmarkStart w:id="280" w:name="xdx_407_eus-gaap--AmortizationOfDebtDisc"/>
            <w:bookmarkEnd w:id="280"/>
          </w:p>
        </w:tc>
      </w:tr>
      <w:tr>
        <w:trPr/>
        <w:tc>
          <w:tcPr>
            <w:tcW w:w="6771" w:type="dxa"/>
            <w:tcBorders/>
            <w:shd w:fill="CCEEFF" w:val="clear"/>
            <w:vAlign w:val="center"/>
          </w:tcPr>
          <w:p>
            <w:pPr>
              <w:pStyle w:val="TableContents"/>
              <w:bidi w:val="0"/>
              <w:spacing w:before="0" w:after="283"/>
              <w:jc w:val="left"/>
              <w:rPr/>
            </w:pPr>
            <w:r>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1,372</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1" w:name="xdx_40D_eus-gaap--GainsLossesOnExtinguis"/>
            <w:bookmarkEnd w:id="281"/>
          </w:p>
        </w:tc>
      </w:tr>
      <w:tr>
        <w:trPr/>
        <w:tc>
          <w:tcPr>
            <w:tcW w:w="6771" w:type="dxa"/>
            <w:tcBorders/>
            <w:shd w:fill="FFFFFF" w:val="clear"/>
            <w:vAlign w:val="center"/>
          </w:tcPr>
          <w:p>
            <w:pPr>
              <w:pStyle w:val="TableContents"/>
              <w:bidi w:val="0"/>
              <w:spacing w:before="0" w:after="283"/>
              <w:jc w:val="left"/>
              <w:rPr/>
            </w:pPr>
            <w:r>
              <w:rPr/>
              <w:t>Gain on settlement and forgiveness of 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(196</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(2,511</w:t>
            </w:r>
          </w:p>
        </w:tc>
        <w:tc>
          <w:tcPr>
            <w:tcW w:w="112" w:type="dxa"/>
            <w:tcBorders/>
            <w:shd w:fill="FFFFFF" w:val="clear"/>
            <w:vAlign w:val="center"/>
          </w:tcPr>
          <w:p>
            <w:pPr>
              <w:pStyle w:val="TableContents"/>
              <w:bidi w:val="0"/>
              <w:spacing w:before="0" w:after="283"/>
              <w:jc w:val="left"/>
              <w:rPr/>
            </w:pPr>
            <w:r>
              <w:rPr/>
              <w:t>)</w:t>
            </w:r>
            <w:bookmarkStart w:id="282" w:name="xdx_40E_eus-gaap--OtherNoncashExpense_i0"/>
            <w:bookmarkEnd w:id="282"/>
          </w:p>
        </w:tc>
      </w:tr>
      <w:tr>
        <w:trPr/>
        <w:tc>
          <w:tcPr>
            <w:tcW w:w="6771"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96</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316</w:t>
            </w:r>
          </w:p>
        </w:tc>
        <w:tc>
          <w:tcPr>
            <w:tcW w:w="112" w:type="dxa"/>
            <w:tcBorders/>
            <w:shd w:fill="CCEEFF" w:val="clear"/>
            <w:vAlign w:val="center"/>
          </w:tcPr>
          <w:p>
            <w:pPr>
              <w:pStyle w:val="TableContents"/>
              <w:bidi w:val="0"/>
              <w:spacing w:before="0" w:after="283"/>
              <w:jc w:val="left"/>
              <w:rPr/>
            </w:pPr>
            <w:r>
              <w:rPr/>
              <w:t> </w:t>
            </w:r>
            <w:bookmarkStart w:id="283" w:name="xdx_404_ecustom--ChangeInFairValueOfExch"/>
            <w:bookmarkEnd w:id="283"/>
          </w:p>
        </w:tc>
      </w:tr>
      <w:tr>
        <w:trPr/>
        <w:tc>
          <w:tcPr>
            <w:tcW w:w="6771" w:type="dxa"/>
            <w:tcBorders/>
            <w:shd w:fill="FFFFFF" w:val="clear"/>
            <w:vAlign w:val="center"/>
          </w:tcPr>
          <w:p>
            <w:pPr>
              <w:pStyle w:val="TableContents"/>
              <w:bidi w:val="0"/>
              <w:spacing w:before="0" w:after="283"/>
              <w:jc w:val="left"/>
              <w:rPr/>
            </w:pPr>
            <w:r>
              <w:rPr/>
              <w:t>Change in fair value of exchangeable shares derivative liability</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389,680</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84" w:name="xdx_405_ecustom--ChangeInFairValueOfConv"/>
            <w:bookmarkEnd w:id="284"/>
          </w:p>
        </w:tc>
      </w:tr>
      <w:tr>
        <w:trPr/>
        <w:tc>
          <w:tcPr>
            <w:tcW w:w="6771" w:type="dxa"/>
            <w:tcBorders/>
            <w:shd w:fill="CCEEFF" w:val="clear"/>
            <w:vAlign w:val="center"/>
          </w:tcPr>
          <w:p>
            <w:pPr>
              <w:pStyle w:val="TableContents"/>
              <w:bidi w:val="0"/>
              <w:spacing w:before="0" w:after="283"/>
              <w:jc w:val="left"/>
              <w:rPr/>
            </w:pPr>
            <w:r>
              <w:rPr/>
              <w:t>Change in fair value of convertible debenture embedded derivative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(7,015</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5" w:name="xdx_408_ecustom--ChangeInFairValueOfMark"/>
            <w:bookmarkEnd w:id="285"/>
          </w:p>
        </w:tc>
      </w:tr>
      <w:tr>
        <w:trPr/>
        <w:tc>
          <w:tcPr>
            <w:tcW w:w="6771" w:type="dxa"/>
            <w:tcBorders/>
            <w:shd w:fill="FFFFFF" w:val="clear"/>
            <w:vAlign w:val="center"/>
          </w:tcPr>
          <w:p>
            <w:pPr>
              <w:pStyle w:val="TableContents"/>
              <w:bidi w:val="0"/>
              <w:spacing w:before="0" w:after="283"/>
              <w:jc w:val="left"/>
              <w:rPr/>
            </w:pPr>
            <w:r>
              <w:rPr/>
              <w:t>Change in fair value of marketable securities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777</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86" w:name="xdx_407_ecustom--FairValueOfLiabilityWar"/>
            <w:bookmarkEnd w:id="286"/>
          </w:p>
        </w:tc>
      </w:tr>
      <w:tr>
        <w:trPr/>
        <w:tc>
          <w:tcPr>
            <w:tcW w:w="6771" w:type="dxa"/>
            <w:tcBorders/>
            <w:shd w:fill="CCEEFF" w:val="clear"/>
            <w:vAlign w:val="center"/>
          </w:tcPr>
          <w:p>
            <w:pPr>
              <w:pStyle w:val="TableContents"/>
              <w:bidi w:val="0"/>
              <w:spacing w:before="0" w:after="283"/>
              <w:jc w:val="left"/>
              <w:rPr/>
            </w:pPr>
            <w:r>
              <w:rPr/>
              <w:t>Fair value of liability warrants reclassified from permanent equity</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8,049</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7" w:name="xdx_402_eus-gaap--AllocatedShareBasedCom"/>
            <w:bookmarkEnd w:id="287"/>
          </w:p>
        </w:tc>
      </w:tr>
      <w:tr>
        <w:trPr/>
        <w:tc>
          <w:tcPr>
            <w:tcW w:w="6771"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57,104</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6,957</w:t>
            </w:r>
          </w:p>
        </w:tc>
        <w:tc>
          <w:tcPr>
            <w:tcW w:w="112" w:type="dxa"/>
            <w:tcBorders/>
            <w:shd w:fill="FFFFFF" w:val="clear"/>
            <w:vAlign w:val="center"/>
          </w:tcPr>
          <w:p>
            <w:pPr>
              <w:pStyle w:val="TableContents"/>
              <w:bidi w:val="0"/>
              <w:spacing w:before="0" w:after="283"/>
              <w:jc w:val="left"/>
              <w:rPr/>
            </w:pPr>
            <w:r>
              <w:rPr/>
              <w:t> </w:t>
            </w:r>
            <w:bookmarkStart w:id="288" w:name="xdx_40B_eus-gaap--DeferredIncomeTaxesAnd"/>
            <w:bookmarkEnd w:id="288"/>
          </w:p>
        </w:tc>
      </w:tr>
      <w:tr>
        <w:trPr/>
        <w:tc>
          <w:tcPr>
            <w:tcW w:w="6771"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(1,254</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89" w:name="xdx_40E_ecustom--AllowanceForCreditLosse"/>
            <w:bookmarkEnd w:id="289"/>
          </w:p>
        </w:tc>
      </w:tr>
      <w:tr>
        <w:trPr/>
        <w:tc>
          <w:tcPr>
            <w:tcW w:w="6771" w:type="dxa"/>
            <w:tcBorders/>
            <w:shd w:fill="FFFFFF" w:val="clear"/>
            <w:vAlign w:val="center"/>
          </w:tcPr>
          <w:p>
            <w:pPr>
              <w:pStyle w:val="TableContents"/>
              <w:bidi w:val="0"/>
              <w:spacing w:before="0" w:after="283"/>
              <w:jc w:val="left"/>
              <w:rPr/>
            </w:pPr>
            <w:r>
              <w:rPr/>
              <w:t>Allowance for credit losses on accounts receivable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109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90" w:name="xdx_400_eus-gaap--ImpairmentOfLongLivedA"/>
            <w:bookmarkEnd w:id="290"/>
          </w:p>
        </w:tc>
      </w:tr>
      <w:tr>
        <w:trPr/>
        <w:tc>
          <w:tcPr>
            <w:tcW w:w="6771" w:type="dxa"/>
            <w:tcBorders/>
            <w:shd w:fill="CCEEFF" w:val="clear"/>
            <w:vAlign w:val="center"/>
          </w:tcPr>
          <w:p>
            <w:pPr>
              <w:pStyle w:val="TableContents"/>
              <w:bidi w:val="0"/>
              <w:spacing w:before="0" w:after="283"/>
              <w:jc w:val="left"/>
              <w:rPr/>
            </w:pPr>
            <w:r>
              <w:rPr/>
              <w:t>Impairment of long-term assets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253</w:t>
            </w:r>
          </w:p>
        </w:tc>
        <w:tc>
          <w:tcPr>
            <w:tcW w:w="112" w:type="dxa"/>
            <w:tcBorders/>
            <w:shd w:fill="CCEEFF" w:val="clear"/>
            <w:vAlign w:val="center"/>
          </w:tcPr>
          <w:p>
            <w:pPr>
              <w:pStyle w:val="TableContents"/>
              <w:bidi w:val="0"/>
              <w:spacing w:before="0" w:after="283"/>
              <w:jc w:val="left"/>
              <w:rPr/>
            </w:pPr>
            <w:r>
              <w:rPr/>
              <w:t> </w:t>
            </w:r>
            <w:bookmarkStart w:id="291" w:name="xdx_40F_ecustom--WarrantModificationExpe"/>
            <w:bookmarkEnd w:id="291"/>
          </w:p>
        </w:tc>
      </w:tr>
      <w:tr>
        <w:trPr/>
        <w:tc>
          <w:tcPr>
            <w:tcW w:w="6771" w:type="dxa"/>
            <w:tcBorders/>
            <w:shd w:fill="FFFFFF" w:val="clear"/>
            <w:vAlign w:val="center"/>
          </w:tcPr>
          <w:p>
            <w:pPr>
              <w:pStyle w:val="TableContents"/>
              <w:bidi w:val="0"/>
              <w:spacing w:before="0" w:after="283"/>
              <w:jc w:val="left"/>
              <w:rPr/>
            </w:pPr>
            <w:r>
              <w:rPr/>
              <w:t>Warrant modification expense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15</w:t>
            </w:r>
          </w:p>
        </w:tc>
        <w:tc>
          <w:tcPr>
            <w:tcW w:w="112" w:type="dxa"/>
            <w:tcBorders/>
            <w:shd w:fill="FFFFFF" w:val="clear"/>
            <w:vAlign w:val="center"/>
          </w:tcPr>
          <w:p>
            <w:pPr>
              <w:pStyle w:val="TableContents"/>
              <w:bidi w:val="0"/>
              <w:spacing w:before="0" w:after="283"/>
              <w:jc w:val="left"/>
              <w:rPr/>
            </w:pPr>
            <w:r>
              <w:rPr/>
              <w:t> </w:t>
            </w:r>
            <w:bookmarkStart w:id="292" w:name="xdx_405_eus-gaap--IncreaseDecreaseInOper"/>
            <w:bookmarkEnd w:id="292"/>
          </w:p>
        </w:tc>
      </w:tr>
      <w:tr>
        <w:trPr/>
        <w:tc>
          <w:tcPr>
            <w:tcW w:w="6771"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93" w:name="xdx_400_eus-gaap--IncreaseDecreaseInAcco"/>
            <w:bookmarkEnd w:id="293"/>
          </w:p>
        </w:tc>
      </w:tr>
      <w:tr>
        <w:trPr/>
        <w:tc>
          <w:tcPr>
            <w:tcW w:w="6771"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(85</w:t>
            </w:r>
          </w:p>
        </w:tc>
        <w:tc>
          <w:tcPr>
            <w:tcW w:w="112" w:type="dxa"/>
            <w:tcBorders/>
            <w:shd w:fill="FFFFFF" w:val="clear"/>
            <w:vAlign w:val="center"/>
          </w:tcPr>
          <w:p>
            <w:pPr>
              <w:pStyle w:val="TableContents"/>
              <w:bidi w:val="0"/>
              <w:spacing w:before="0" w:after="283"/>
              <w:jc w:val="left"/>
              <w:rPr/>
            </w:pPr>
            <w:r>
              <w:rPr/>
              <w:t>)</w:t>
            </w:r>
            <w:bookmarkStart w:id="294" w:name="xdx_400_eus-gaap--IncreaseDecreaseInLeas"/>
            <w:bookmarkEnd w:id="294"/>
          </w:p>
        </w:tc>
      </w:tr>
      <w:tr>
        <w:trPr/>
        <w:tc>
          <w:tcPr>
            <w:tcW w:w="6771" w:type="dxa"/>
            <w:tcBorders/>
            <w:shd w:fill="CCEEFF" w:val="clear"/>
            <w:vAlign w:val="center"/>
          </w:tcPr>
          <w:p>
            <w:pPr>
              <w:pStyle w:val="TableContents"/>
              <w:bidi w:val="0"/>
              <w:spacing w:before="0" w:after="283"/>
              <w:jc w:val="left"/>
              <w:rPr/>
            </w:pPr>
            <w:r>
              <w:rPr/>
              <w:t>Lease receivables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103</w:t>
            </w:r>
          </w:p>
        </w:tc>
        <w:tc>
          <w:tcPr>
            <w:tcW w:w="112" w:type="dxa"/>
            <w:tcBorders/>
            <w:shd w:fill="CCEEFF" w:val="clear"/>
            <w:vAlign w:val="center"/>
          </w:tcPr>
          <w:p>
            <w:pPr>
              <w:pStyle w:val="TableContents"/>
              <w:bidi w:val="0"/>
              <w:spacing w:before="0" w:after="283"/>
              <w:jc w:val="left"/>
              <w:rPr/>
            </w:pPr>
            <w:r>
              <w:rPr/>
              <w:t> </w:t>
            </w:r>
            <w:bookmarkStart w:id="295" w:name="xdx_402_ecustom--IncreaseDecreaseInSales"/>
            <w:bookmarkEnd w:id="295"/>
          </w:p>
        </w:tc>
      </w:tr>
      <w:tr>
        <w:trPr/>
        <w:tc>
          <w:tcPr>
            <w:tcW w:w="6771" w:type="dxa"/>
            <w:tcBorders/>
            <w:shd w:fill="FFFFFF" w:val="clear"/>
            <w:vAlign w:val="center"/>
          </w:tcPr>
          <w:p>
            <w:pPr>
              <w:pStyle w:val="TableContents"/>
              <w:bidi w:val="0"/>
              <w:spacing w:before="0" w:after="283"/>
              <w:jc w:val="left"/>
              <w:rPr/>
            </w:pPr>
            <w:r>
              <w:rPr/>
              <w:t>Sales tax receivable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(36</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96" w:name="xdx_407_eus-gaap--IncreaseDecreaseInOthe"/>
            <w:bookmarkEnd w:id="296"/>
          </w:p>
        </w:tc>
      </w:tr>
      <w:tr>
        <w:trPr/>
        <w:tc>
          <w:tcPr>
            <w:tcW w:w="6771" w:type="dxa"/>
            <w:tcBorders/>
            <w:shd w:fill="CCEEFF" w:val="clear"/>
            <w:vAlign w:val="center"/>
          </w:tcPr>
          <w:p>
            <w:pPr>
              <w:pStyle w:val="TableContents"/>
              <w:bidi w:val="0"/>
              <w:spacing w:before="0" w:after="283"/>
              <w:jc w:val="left"/>
              <w:rPr/>
            </w:pPr>
            <w:r>
              <w:rPr/>
              <w:t>Employee advances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bookmarkStart w:id="297" w:name="xdx_40C_ecustom--IncreaseDecreaseInChang"/>
            <w:bookmarkEnd w:id="297"/>
          </w:p>
        </w:tc>
      </w:tr>
      <w:tr>
        <w:trPr/>
        <w:tc>
          <w:tcPr>
            <w:tcW w:w="6771" w:type="dxa"/>
            <w:tcBorders/>
            <w:shd w:fill="FFFFFF" w:val="clear"/>
            <w:vAlign w:val="center"/>
          </w:tcPr>
          <w:p>
            <w:pPr>
              <w:pStyle w:val="TableContents"/>
              <w:bidi w:val="0"/>
              <w:spacing w:before="0" w:after="283"/>
              <w:jc w:val="left"/>
              <w:rPr/>
            </w:pPr>
            <w:r>
              <w:rPr/>
              <w:t>Change in net investment in leases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13</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98" w:name="xdx_40D_eus-gaap--IncreaseDecreaseInPrep"/>
            <w:bookmarkEnd w:id="298"/>
          </w:p>
        </w:tc>
      </w:tr>
      <w:tr>
        <w:trPr/>
        <w:tc>
          <w:tcPr>
            <w:tcW w:w="6771"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(405</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126</w:t>
            </w:r>
          </w:p>
        </w:tc>
        <w:tc>
          <w:tcPr>
            <w:tcW w:w="112" w:type="dxa"/>
            <w:tcBorders/>
            <w:shd w:fill="CCEEFF" w:val="clear"/>
            <w:vAlign w:val="center"/>
          </w:tcPr>
          <w:p>
            <w:pPr>
              <w:pStyle w:val="TableContents"/>
              <w:bidi w:val="0"/>
              <w:spacing w:before="0" w:after="283"/>
              <w:jc w:val="left"/>
              <w:rPr/>
            </w:pPr>
            <w:r>
              <w:rPr/>
              <w:t> </w:t>
            </w:r>
            <w:bookmarkStart w:id="299" w:name="xdx_40B_eus-gaap--IncreaseDecreaseInCont"/>
            <w:bookmarkEnd w:id="299"/>
          </w:p>
        </w:tc>
      </w:tr>
      <w:tr>
        <w:trPr/>
        <w:tc>
          <w:tcPr>
            <w:tcW w:w="6771"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(7</w:t>
            </w:r>
          </w:p>
        </w:tc>
        <w:tc>
          <w:tcPr>
            <w:tcW w:w="112" w:type="dxa"/>
            <w:tcBorders/>
            <w:shd w:fill="FFFFFF" w:val="clear"/>
            <w:vAlign w:val="center"/>
          </w:tcPr>
          <w:p>
            <w:pPr>
              <w:pStyle w:val="TableContents"/>
              <w:bidi w:val="0"/>
              <w:spacing w:before="0" w:after="283"/>
              <w:jc w:val="left"/>
              <w:rPr/>
            </w:pPr>
            <w:r>
              <w:rPr/>
              <w:t>)</w:t>
            </w:r>
            <w:bookmarkStart w:id="300" w:name="xdx_405_eus-gaap--IncreaseDecreaseInAcco"/>
            <w:bookmarkEnd w:id="300"/>
          </w:p>
        </w:tc>
      </w:tr>
      <w:tr>
        <w:trPr/>
        <w:tc>
          <w:tcPr>
            <w:tcW w:w="6771"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597</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571</w:t>
            </w:r>
          </w:p>
        </w:tc>
        <w:tc>
          <w:tcPr>
            <w:tcW w:w="112" w:type="dxa"/>
            <w:tcBorders/>
            <w:shd w:fill="CCEEFF" w:val="clear"/>
            <w:vAlign w:val="center"/>
          </w:tcPr>
          <w:p>
            <w:pPr>
              <w:pStyle w:val="TableContents"/>
              <w:bidi w:val="0"/>
              <w:spacing w:before="0" w:after="283"/>
              <w:jc w:val="left"/>
              <w:rPr/>
            </w:pPr>
            <w:r>
              <w:rPr/>
              <w:t> </w:t>
            </w:r>
            <w:bookmarkStart w:id="301" w:name="xdx_403_eus-gaap--IncreaseDecreaseInOper"/>
            <w:bookmarkEnd w:id="301"/>
          </w:p>
        </w:tc>
      </w:tr>
      <w:tr>
        <w:trPr/>
        <w:tc>
          <w:tcPr>
            <w:tcW w:w="6771"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(102</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(350</w:t>
            </w:r>
          </w:p>
        </w:tc>
        <w:tc>
          <w:tcPr>
            <w:tcW w:w="112" w:type="dxa"/>
            <w:tcBorders/>
            <w:shd w:fill="FFFFFF" w:val="clear"/>
            <w:vAlign w:val="center"/>
          </w:tcPr>
          <w:p>
            <w:pPr>
              <w:pStyle w:val="TableContents"/>
              <w:bidi w:val="0"/>
              <w:spacing w:before="0" w:after="283"/>
              <w:jc w:val="left"/>
              <w:rPr/>
            </w:pPr>
            <w:r>
              <w:rPr/>
              <w:t>)</w:t>
            </w:r>
            <w:bookmarkStart w:id="302" w:name="xdx_400_eus-gaap--NetCashProvidedByUsedI"/>
            <w:bookmarkEnd w:id="302"/>
          </w:p>
        </w:tc>
      </w:tr>
      <w:tr>
        <w:trPr/>
        <w:tc>
          <w:tcPr>
            <w:tcW w:w="6771"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(10,437</w:t>
            </w:r>
          </w:p>
        </w:tc>
        <w:tc>
          <w:tcPr>
            <w:tcW w:w="150"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(4,758</w:t>
            </w:r>
          </w:p>
        </w:tc>
        <w:tc>
          <w:tcPr>
            <w:tcW w:w="112" w:type="dxa"/>
            <w:tcBorders/>
            <w:shd w:fill="CCEEFF" w:val="clear"/>
            <w:vAlign w:val="center"/>
          </w:tcPr>
          <w:p>
            <w:pPr>
              <w:pStyle w:val="TableContents"/>
              <w:bidi w:val="0"/>
              <w:spacing w:before="0" w:after="283"/>
              <w:jc w:val="left"/>
              <w:rPr>
                <w:b/>
              </w:rPr>
            </w:pPr>
            <w:r>
              <w:rPr>
                <w:b/>
              </w:rPr>
              <w:t>)</w:t>
            </w:r>
          </w:p>
        </w:tc>
      </w:tr>
      <w:tr>
        <w:trPr/>
        <w:tc>
          <w:tcPr>
            <w:tcW w:w="6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3" w:name="xdx_401_eus-gaap--NetCashProvidedByUsedI"/>
            <w:bookmarkEnd w:id="303"/>
          </w:p>
        </w:tc>
      </w:tr>
      <w:tr>
        <w:trPr/>
        <w:tc>
          <w:tcPr>
            <w:tcW w:w="6771"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4" w:name="xdx_404_eus-gaap--PaymentsToAcquireInves"/>
            <w:bookmarkEnd w:id="304"/>
          </w:p>
        </w:tc>
      </w:tr>
      <w:tr>
        <w:trPr/>
        <w:tc>
          <w:tcPr>
            <w:tcW w:w="6771" w:type="dxa"/>
            <w:tcBorders/>
            <w:shd w:fill="FFFFFF" w:val="clear"/>
            <w:vAlign w:val="center"/>
          </w:tcPr>
          <w:p>
            <w:pPr>
              <w:pStyle w:val="TableContents"/>
              <w:bidi w:val="0"/>
              <w:spacing w:before="0" w:after="283"/>
              <w:jc w:val="left"/>
              <w:rPr/>
            </w:pPr>
            <w:r>
              <w:rPr/>
              <w:t>Purchase of investment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(144</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05" w:name="xdx_400_ecustom--PaymentsForGoldHeldAsLo"/>
            <w:bookmarkEnd w:id="305"/>
          </w:p>
        </w:tc>
      </w:tr>
      <w:tr>
        <w:trPr/>
        <w:tc>
          <w:tcPr>
            <w:tcW w:w="6771" w:type="dxa"/>
            <w:tcBorders/>
            <w:shd w:fill="CCEEFF" w:val="clear"/>
            <w:vAlign w:val="center"/>
          </w:tcPr>
          <w:p>
            <w:pPr>
              <w:pStyle w:val="TableContents"/>
              <w:bidi w:val="0"/>
              <w:spacing w:before="0" w:after="283"/>
              <w:jc w:val="left"/>
              <w:rPr/>
            </w:pPr>
            <w:r>
              <w:rPr/>
              <w:t>Purchase of gold held as long-term investment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(24,472</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06" w:name="xdx_408_eus-gaap--PaymentsToAcquireBusin"/>
            <w:bookmarkEnd w:id="306"/>
          </w:p>
        </w:tc>
      </w:tr>
      <w:tr>
        <w:trPr/>
        <w:tc>
          <w:tcPr>
            <w:tcW w:w="6771" w:type="dxa"/>
            <w:tcBorders/>
            <w:shd w:fill="FFFFFF" w:val="clear"/>
            <w:vAlign w:val="center"/>
          </w:tcPr>
          <w:p>
            <w:pPr>
              <w:pStyle w:val="TableContents"/>
              <w:bidi w:val="0"/>
              <w:spacing w:before="0" w:after="283"/>
              <w:jc w:val="left"/>
              <w:rPr/>
            </w:pPr>
            <w:r>
              <w:rPr/>
              <w:t>Business acquisition, net of cash acquired</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366</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07" w:name="xdx_40C_eus-gaap--NetCashProvidedByUsedI"/>
            <w:bookmarkEnd w:id="307"/>
          </w:p>
        </w:tc>
      </w:tr>
      <w:tr>
        <w:trPr/>
        <w:tc>
          <w:tcPr>
            <w:tcW w:w="6771" w:type="dxa"/>
            <w:tcBorders/>
            <w:shd w:fill="CCEEFF" w:val="clear"/>
            <w:vAlign w:val="center"/>
          </w:tcPr>
          <w:p>
            <w:pPr>
              <w:pStyle w:val="TableContents"/>
              <w:bidi w:val="0"/>
              <w:spacing w:before="0" w:after="283"/>
              <w:jc w:val="left"/>
              <w:rPr>
                <w:b/>
              </w:rPr>
            </w:pPr>
            <w:r>
              <w:rPr>
                <w:b/>
              </w:rPr>
              <w:t>Net cash used in investing activity</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(24,250</w:t>
            </w:r>
          </w:p>
        </w:tc>
        <w:tc>
          <w:tcPr>
            <w:tcW w:w="150"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2" w:type="dxa"/>
            <w:tcBorders/>
            <w:shd w:fill="CCEEFF" w:val="clear"/>
            <w:vAlign w:val="center"/>
          </w:tcPr>
          <w:p>
            <w:pPr>
              <w:pStyle w:val="TableContents"/>
              <w:bidi w:val="0"/>
              <w:spacing w:before="0" w:after="283"/>
              <w:jc w:val="left"/>
              <w:rPr/>
            </w:pPr>
            <w:r>
              <w:rPr/>
              <w:t> </w:t>
            </w:r>
          </w:p>
        </w:tc>
      </w:tr>
      <w:tr>
        <w:trPr/>
        <w:tc>
          <w:tcPr>
            <w:tcW w:w="6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08" w:name="xdx_407_eus-gaap--NetCashProvidedByUsedI"/>
            <w:bookmarkEnd w:id="308"/>
          </w:p>
        </w:tc>
      </w:tr>
      <w:tr>
        <w:trPr/>
        <w:tc>
          <w:tcPr>
            <w:tcW w:w="6771"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09" w:name="xdx_40F_ecustom--SaleOfCommonStockUnderA"/>
            <w:bookmarkEnd w:id="309"/>
          </w:p>
        </w:tc>
      </w:tr>
      <w:tr>
        <w:trPr/>
        <w:tc>
          <w:tcPr>
            <w:tcW w:w="6771" w:type="dxa"/>
            <w:tcBorders/>
            <w:shd w:fill="FFFFFF" w:val="clear"/>
            <w:vAlign w:val="center"/>
          </w:tcPr>
          <w:p>
            <w:pPr>
              <w:pStyle w:val="TableContents"/>
              <w:bidi w:val="0"/>
              <w:spacing w:before="0" w:after="283"/>
              <w:jc w:val="left"/>
              <w:rPr/>
            </w:pPr>
            <w:r>
              <w:rPr/>
              <w:t>Sale of common stock under at-the- market offering, net of transaction costs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17,455</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10" w:name="xdx_408_eus-gaap--ProceedsFromOtherEquit"/>
            <w:bookmarkEnd w:id="310"/>
          </w:p>
        </w:tc>
      </w:tr>
      <w:tr>
        <w:trPr/>
        <w:tc>
          <w:tcPr>
            <w:tcW w:w="6771" w:type="dxa"/>
            <w:tcBorders/>
            <w:shd w:fill="CCEEFF" w:val="clear"/>
            <w:vAlign w:val="center"/>
          </w:tcPr>
          <w:p>
            <w:pPr>
              <w:pStyle w:val="TableContents"/>
              <w:bidi w:val="0"/>
              <w:spacing w:before="0" w:after="283"/>
              <w:jc w:val="left"/>
              <w:rPr/>
            </w:pPr>
            <w:r>
              <w:rPr/>
              <w:t>Sale of common stock and warrants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818</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4,210</w:t>
            </w:r>
          </w:p>
        </w:tc>
        <w:tc>
          <w:tcPr>
            <w:tcW w:w="112" w:type="dxa"/>
            <w:tcBorders/>
            <w:shd w:fill="CCEEFF" w:val="clear"/>
            <w:vAlign w:val="center"/>
          </w:tcPr>
          <w:p>
            <w:pPr>
              <w:pStyle w:val="TableContents"/>
              <w:bidi w:val="0"/>
              <w:spacing w:before="0" w:after="283"/>
              <w:jc w:val="left"/>
              <w:rPr/>
            </w:pPr>
            <w:r>
              <w:rPr/>
              <w:t> </w:t>
            </w:r>
            <w:bookmarkStart w:id="311" w:name="xdx_40F_ecustom--RepaymentOfFinanceOblig"/>
            <w:bookmarkEnd w:id="311"/>
          </w:p>
        </w:tc>
      </w:tr>
      <w:tr>
        <w:trPr/>
        <w:tc>
          <w:tcPr>
            <w:tcW w:w="6771" w:type="dxa"/>
            <w:tcBorders/>
            <w:shd w:fill="FFFFFF" w:val="clear"/>
            <w:vAlign w:val="center"/>
          </w:tcPr>
          <w:p>
            <w:pPr>
              <w:pStyle w:val="TableContents"/>
              <w:bidi w:val="0"/>
              <w:spacing w:before="0" w:after="283"/>
              <w:jc w:val="left"/>
              <w:rPr/>
            </w:pPr>
            <w:r>
              <w:rPr/>
              <w:t>Repayment of finance obligation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(712</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12" w:name="xdx_406_eus-gaap--ProceedsFromConvertibl"/>
            <w:bookmarkEnd w:id="312"/>
          </w:p>
        </w:tc>
      </w:tr>
      <w:tr>
        <w:trPr/>
        <w:tc>
          <w:tcPr>
            <w:tcW w:w="6771" w:type="dxa"/>
            <w:tcBorders/>
            <w:shd w:fill="CCEEFF" w:val="clear"/>
            <w:vAlign w:val="center"/>
          </w:tcPr>
          <w:p>
            <w:pPr>
              <w:pStyle w:val="TableContents"/>
              <w:bidi w:val="0"/>
              <w:spacing w:before="0" w:after="283"/>
              <w:jc w:val="left"/>
              <w:rPr/>
            </w:pPr>
            <w:r>
              <w:rPr/>
              <w:t>Proceeds from convertible note payable, net of issuance costs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45,364</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13" w:name="xdx_401_eus-gaap--RepaymentsOfDebt_i01N_"/>
            <w:bookmarkEnd w:id="313"/>
          </w:p>
        </w:tc>
      </w:tr>
      <w:tr>
        <w:trPr/>
        <w:tc>
          <w:tcPr>
            <w:tcW w:w="6771" w:type="dxa"/>
            <w:tcBorders/>
            <w:shd w:fill="FFFFFF" w:val="clear"/>
            <w:vAlign w:val="center"/>
          </w:tcPr>
          <w:p>
            <w:pPr>
              <w:pStyle w:val="TableContents"/>
              <w:bidi w:val="0"/>
              <w:spacing w:before="0" w:after="283"/>
              <w:jc w:val="left"/>
              <w:rPr/>
            </w:pPr>
            <w:r>
              <w:rPr/>
              <w:t>Cash paid to settle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(8,049</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14" w:name="xdx_40B_eus-gaap--ProceedsFromRelatedPar"/>
            <w:bookmarkEnd w:id="314"/>
          </w:p>
        </w:tc>
      </w:tr>
      <w:tr>
        <w:trPr/>
        <w:tc>
          <w:tcPr>
            <w:tcW w:w="6771" w:type="dxa"/>
            <w:tcBorders/>
            <w:shd w:fill="CCEEFF" w:val="clear"/>
            <w:vAlign w:val="center"/>
          </w:tcPr>
          <w:p>
            <w:pPr>
              <w:pStyle w:val="TableContents"/>
              <w:bidi w:val="0"/>
              <w:spacing w:before="0" w:after="283"/>
              <w:jc w:val="left"/>
              <w:rPr/>
            </w:pPr>
            <w:r>
              <w:rPr/>
              <w:t>Proceeds from issuance of related party note payable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500</w:t>
            </w:r>
          </w:p>
        </w:tc>
        <w:tc>
          <w:tcPr>
            <w:tcW w:w="112" w:type="dxa"/>
            <w:tcBorders/>
            <w:shd w:fill="CCEEFF" w:val="clear"/>
            <w:vAlign w:val="center"/>
          </w:tcPr>
          <w:p>
            <w:pPr>
              <w:pStyle w:val="TableContents"/>
              <w:bidi w:val="0"/>
              <w:spacing w:before="0" w:after="283"/>
              <w:jc w:val="left"/>
              <w:rPr/>
            </w:pPr>
            <w:r>
              <w:rPr/>
              <w:t> </w:t>
            </w:r>
            <w:bookmarkStart w:id="315" w:name="xdx_407_eus-gaap--NetCashProvidedByUsedI"/>
            <w:bookmarkEnd w:id="315"/>
          </w:p>
        </w:tc>
      </w:tr>
      <w:tr>
        <w:trPr/>
        <w:tc>
          <w:tcPr>
            <w:tcW w:w="6771"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54,876</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4,710</w:t>
            </w:r>
          </w:p>
        </w:tc>
        <w:tc>
          <w:tcPr>
            <w:tcW w:w="112" w:type="dxa"/>
            <w:tcBorders/>
            <w:shd w:fill="FFFFFF" w:val="clear"/>
            <w:vAlign w:val="center"/>
          </w:tcPr>
          <w:p>
            <w:pPr>
              <w:pStyle w:val="TableContents"/>
              <w:bidi w:val="0"/>
              <w:spacing w:before="0" w:after="283"/>
              <w:jc w:val="left"/>
              <w:rPr/>
            </w:pPr>
            <w:r>
              <w:rPr/>
              <w:t> </w:t>
            </w:r>
          </w:p>
        </w:tc>
      </w:tr>
      <w:tr>
        <w:trPr/>
        <w:tc>
          <w:tcPr>
            <w:tcW w:w="6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16" w:name="xdx_40E_eus-gaap--EffectOfExchangeRateOn"/>
            <w:bookmarkEnd w:id="316"/>
          </w:p>
        </w:tc>
      </w:tr>
      <w:tr>
        <w:trPr/>
        <w:tc>
          <w:tcPr>
            <w:tcW w:w="6771" w:type="dxa"/>
            <w:tcBorders/>
            <w:shd w:fill="FFFFFF" w:val="clear"/>
            <w:vAlign w:val="center"/>
          </w:tcPr>
          <w:p>
            <w:pPr>
              <w:pStyle w:val="TableContents"/>
              <w:bidi w:val="0"/>
              <w:spacing w:before="0" w:after="283"/>
              <w:jc w:val="left"/>
              <w:rPr/>
            </w:pPr>
            <w:r>
              <w:rPr/>
              <w:t>Effect of exchange rate change on cash</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(15</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17" w:name="xdx_405_eus-gaap--CashCashEquivalentsRes"/>
            <w:bookmarkEnd w:id="317"/>
          </w:p>
        </w:tc>
      </w:tr>
      <w:tr>
        <w:trPr/>
        <w:tc>
          <w:tcPr>
            <w:tcW w:w="6771" w:type="dxa"/>
            <w:tcBorders/>
            <w:shd w:fill="CCEEFF" w:val="clear"/>
            <w:vAlign w:val="center"/>
          </w:tcPr>
          <w:p>
            <w:pPr>
              <w:pStyle w:val="TableContents"/>
              <w:bidi w:val="0"/>
              <w:spacing w:before="0" w:after="283"/>
              <w:jc w:val="left"/>
              <w:rPr>
                <w:b/>
              </w:rPr>
            </w:pPr>
            <w:r>
              <w:rPr>
                <w:b/>
              </w:rPr>
              <w:t>Net increase in cash</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20,174</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w:t>
            </w:r>
          </w:p>
        </w:tc>
        <w:tc>
          <w:tcPr>
            <w:tcW w:w="112" w:type="dxa"/>
            <w:tcBorders/>
            <w:shd w:fill="CCEEFF" w:val="clear"/>
            <w:vAlign w:val="center"/>
          </w:tcPr>
          <w:p>
            <w:pPr>
              <w:pStyle w:val="TableContents"/>
              <w:bidi w:val="0"/>
              <w:spacing w:before="0" w:after="283"/>
              <w:jc w:val="left"/>
              <w:rPr>
                <w:b/>
              </w:rPr>
            </w:pPr>
            <w:r>
              <w:rPr>
                <w:b/>
              </w:rPr>
              <w:t>)</w:t>
            </w:r>
            <w:bookmarkStart w:id="318" w:name="xdx_40F_eus-gaap--CashCashEquivalentsRes"/>
            <w:bookmarkEnd w:id="318"/>
          </w:p>
        </w:tc>
      </w:tr>
      <w:tr>
        <w:trPr/>
        <w:tc>
          <w:tcPr>
            <w:tcW w:w="6771" w:type="dxa"/>
            <w:tcBorders/>
            <w:shd w:fill="FFFFFF" w:val="clear"/>
            <w:vAlign w:val="center"/>
          </w:tcPr>
          <w:p>
            <w:pPr>
              <w:pStyle w:val="TableContents"/>
              <w:bidi w:val="0"/>
              <w:spacing w:before="0" w:after="283"/>
              <w:jc w:val="left"/>
              <w:rPr/>
            </w:pPr>
            <w:r>
              <w:rPr/>
              <w:t>Cash, beginning of the year</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8" w:space="0" w:color="000000"/>
            </w:tcBorders>
            <w:shd w:fill="FFFFFF" w:val="clear"/>
            <w:tcMar>
              <w:bottom w:w="28" w:type="dxa"/>
            </w:tcMar>
            <w:vAlign w:val="center"/>
          </w:tcPr>
          <w:p>
            <w:pPr>
              <w:pStyle w:val="TableContents"/>
              <w:bidi w:val="0"/>
              <w:spacing w:before="0" w:after="283"/>
              <w:jc w:val="right"/>
              <w:rPr/>
            </w:pPr>
            <w:r>
              <w:rPr/>
              <w:t>142</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190</w:t>
            </w:r>
          </w:p>
        </w:tc>
        <w:tc>
          <w:tcPr>
            <w:tcW w:w="112" w:type="dxa"/>
            <w:tcBorders/>
            <w:shd w:fill="FFFFFF" w:val="clear"/>
            <w:vAlign w:val="center"/>
          </w:tcPr>
          <w:p>
            <w:pPr>
              <w:pStyle w:val="TableContents"/>
              <w:bidi w:val="0"/>
              <w:spacing w:before="0" w:after="283"/>
              <w:jc w:val="left"/>
              <w:rPr/>
            </w:pPr>
            <w:r>
              <w:rPr/>
              <w:t> </w:t>
            </w:r>
            <w:bookmarkStart w:id="319" w:name="xdx_400_eus-gaap--CashCashEquivalentsRes"/>
            <w:bookmarkEnd w:id="319"/>
          </w:p>
        </w:tc>
      </w:tr>
      <w:tr>
        <w:trPr/>
        <w:tc>
          <w:tcPr>
            <w:tcW w:w="6771" w:type="dxa"/>
            <w:tcBorders/>
            <w:shd w:fill="CCEEFF" w:val="clear"/>
            <w:vAlign w:val="center"/>
          </w:tcPr>
          <w:p>
            <w:pPr>
              <w:pStyle w:val="TableContents"/>
              <w:bidi w:val="0"/>
              <w:spacing w:before="0" w:after="283"/>
              <w:jc w:val="left"/>
              <w:rPr>
                <w:b/>
              </w:rPr>
            </w:pPr>
            <w:r>
              <w:rPr>
                <w:b/>
              </w:rPr>
              <w:t>Cash, end of the year</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20,316</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w:t>
            </w:r>
          </w:p>
        </w:tc>
        <w:tc>
          <w:tcPr>
            <w:tcW w:w="112" w:type="dxa"/>
            <w:tcBorders/>
            <w:shd w:fill="CCEEFF" w:val="clear"/>
            <w:vAlign w:val="center"/>
          </w:tcPr>
          <w:p>
            <w:pPr>
              <w:pStyle w:val="TableContents"/>
              <w:bidi w:val="0"/>
              <w:spacing w:before="0" w:after="283"/>
              <w:jc w:val="left"/>
              <w:rPr/>
            </w:pPr>
            <w:r>
              <w:rPr/>
              <w:t> </w:t>
            </w:r>
          </w:p>
        </w:tc>
      </w:tr>
      <w:tr>
        <w:trPr/>
        <w:tc>
          <w:tcPr>
            <w:tcW w:w="6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20" w:name="xdx_404_eus-gaap--SupplementalCashFlowIn"/>
            <w:bookmarkEnd w:id="320"/>
          </w:p>
        </w:tc>
      </w:tr>
      <w:tr>
        <w:trPr/>
        <w:tc>
          <w:tcPr>
            <w:tcW w:w="6771"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1" w:name="xdx_403_eus-gaap--InterestPaidNet_i01_z3"/>
            <w:bookmarkEnd w:id="321"/>
          </w:p>
        </w:tc>
      </w:tr>
      <w:tr>
        <w:trPr/>
        <w:tc>
          <w:tcPr>
            <w:tcW w:w="6771" w:type="dxa"/>
            <w:tcBorders/>
            <w:shd w:fill="FFFFFF" w:val="clear"/>
            <w:vAlign w:val="center"/>
          </w:tcPr>
          <w:p>
            <w:pPr>
              <w:pStyle w:val="TableContents"/>
              <w:bidi w:val="0"/>
              <w:spacing w:before="0" w:after="283"/>
              <w:jc w:val="left"/>
              <w:rPr/>
            </w:pPr>
            <w:r>
              <w:rPr/>
              <w:t>Cash paid during the year for interest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22" w:name="xdx_40B_eus-gaap--IncomeTaxesPaidNet_i01"/>
            <w:bookmarkEnd w:id="322"/>
          </w:p>
        </w:tc>
      </w:tr>
      <w:tr>
        <w:trPr/>
        <w:tc>
          <w:tcPr>
            <w:tcW w:w="6771"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7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23" w:name="xdx_401_eus-gaap--NoncashInvestingAndFin"/>
            <w:bookmarkEnd w:id="323"/>
          </w:p>
        </w:tc>
      </w:tr>
      <w:tr>
        <w:trPr/>
        <w:tc>
          <w:tcPr>
            <w:tcW w:w="6771" w:type="dxa"/>
            <w:tcBorders/>
            <w:shd w:fill="CCEEFF" w:val="clear"/>
            <w:vAlign w:val="center"/>
          </w:tcPr>
          <w:p>
            <w:pPr>
              <w:pStyle w:val="TableContents"/>
              <w:bidi w:val="0"/>
              <w:spacing w:before="0" w:after="283"/>
              <w:jc w:val="left"/>
              <w:rPr>
                <w:b/>
              </w:rPr>
            </w:pPr>
            <w:r>
              <w:rPr>
                <w:b/>
              </w:rPr>
              <w:t>Non 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24" w:name="xdx_40A_ecustom--RecognitionOfDerivative"/>
            <w:bookmarkEnd w:id="324"/>
          </w:p>
        </w:tc>
      </w:tr>
      <w:tr>
        <w:trPr/>
        <w:tc>
          <w:tcPr>
            <w:tcW w:w="6771" w:type="dxa"/>
            <w:tcBorders/>
            <w:shd w:fill="FFFFFF" w:val="clear"/>
            <w:vAlign w:val="center"/>
          </w:tcPr>
          <w:p>
            <w:pPr>
              <w:pStyle w:val="TableContents"/>
              <w:bidi w:val="0"/>
              <w:spacing w:before="0" w:after="283"/>
              <w:jc w:val="left"/>
              <w:rPr/>
            </w:pPr>
            <w:r>
              <w:rPr/>
              <w:t>Recognition of derivative liability as part of business combination</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105,498</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25" w:name="xdx_40A_ecustom--RecognitionOfAssetsAcqu"/>
            <w:bookmarkEnd w:id="325"/>
          </w:p>
        </w:tc>
      </w:tr>
      <w:tr>
        <w:trPr/>
        <w:tc>
          <w:tcPr>
            <w:tcW w:w="6771" w:type="dxa"/>
            <w:tcBorders/>
            <w:shd w:fill="CCEEFF" w:val="clear"/>
            <w:vAlign w:val="center"/>
          </w:tcPr>
          <w:p>
            <w:pPr>
              <w:pStyle w:val="TableContents"/>
              <w:bidi w:val="0"/>
              <w:spacing w:before="0" w:after="283"/>
              <w:jc w:val="left"/>
              <w:rPr/>
            </w:pPr>
            <w:r>
              <w:rPr/>
              <w:t>Recognition of assets acquired as part of business combination</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117,982</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26" w:name="xdx_400_ecustom--RecognitionOfLiabilitie"/>
            <w:bookmarkEnd w:id="326"/>
          </w:p>
        </w:tc>
      </w:tr>
      <w:tr>
        <w:trPr/>
        <w:tc>
          <w:tcPr>
            <w:tcW w:w="6771" w:type="dxa"/>
            <w:tcBorders/>
            <w:shd w:fill="FFFFFF" w:val="clear"/>
            <w:vAlign w:val="center"/>
          </w:tcPr>
          <w:p>
            <w:pPr>
              <w:pStyle w:val="TableContents"/>
              <w:bidi w:val="0"/>
              <w:spacing w:before="0" w:after="283"/>
              <w:jc w:val="left"/>
              <w:rPr/>
            </w:pPr>
            <w:r>
              <w:rPr/>
              <w:t>Recognition of liabilities assumed as part of business combination</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12,850</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27" w:name="xdx_40B_ecustom--CommonStockIssuedInSett"/>
            <w:bookmarkEnd w:id="327"/>
          </w:p>
        </w:tc>
      </w:tr>
      <w:tr>
        <w:trPr/>
        <w:tc>
          <w:tcPr>
            <w:tcW w:w="6771" w:type="dxa"/>
            <w:tcBorders/>
            <w:shd w:fill="CCEEFF" w:val="clear"/>
            <w:vAlign w:val="center"/>
          </w:tcPr>
          <w:p>
            <w:pPr>
              <w:pStyle w:val="TableContents"/>
              <w:bidi w:val="0"/>
              <w:spacing w:before="0" w:after="283"/>
              <w:jc w:val="left"/>
              <w:rPr/>
            </w:pPr>
            <w:r>
              <w:rPr/>
              <w:t>Common stock issued in settlement of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683</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 </w:t>
            </w:r>
            <w:bookmarkStart w:id="328" w:name="xdx_40B_ecustom--DividendPayableOnPrefer"/>
            <w:bookmarkEnd w:id="328"/>
          </w:p>
        </w:tc>
      </w:tr>
      <w:tr>
        <w:trPr/>
        <w:tc>
          <w:tcPr>
            <w:tcW w:w="6771" w:type="dxa"/>
            <w:tcBorders/>
            <w:shd w:fill="FFFFFF" w:val="clear"/>
            <w:vAlign w:val="center"/>
          </w:tcPr>
          <w:p>
            <w:pPr>
              <w:pStyle w:val="TableContents"/>
              <w:bidi w:val="0"/>
              <w:spacing w:before="0" w:after="283"/>
              <w:jc w:val="left"/>
              <w:rPr/>
            </w:pPr>
            <w:r>
              <w:rPr/>
              <w:t>Dividend payable on preferred stock charged to additional paid-in-capital</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bookmarkStart w:id="329" w:name="xdx_40C_ecustom--FinancingObligationEnte"/>
            <w:bookmarkEnd w:id="329"/>
          </w:p>
        </w:tc>
      </w:tr>
      <w:tr>
        <w:trPr/>
        <w:tc>
          <w:tcPr>
            <w:tcW w:w="6771" w:type="dxa"/>
            <w:tcBorders/>
            <w:shd w:fill="CCEEFF" w:val="clear"/>
            <w:vAlign w:val="center"/>
          </w:tcPr>
          <w:p>
            <w:pPr>
              <w:pStyle w:val="TableContents"/>
              <w:bidi w:val="0"/>
              <w:spacing w:before="0" w:after="283"/>
              <w:jc w:val="left"/>
              <w:rPr/>
            </w:pPr>
            <w:r>
              <w:rPr/>
              <w:t>Financing obligation entered into in exchange for prepaid insurance</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1,628</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30" w:name="xdx_407_ecustom--PrepaidStockBasedCompen"/>
            <w:bookmarkEnd w:id="330"/>
          </w:p>
        </w:tc>
      </w:tr>
      <w:tr>
        <w:trPr/>
        <w:tc>
          <w:tcPr>
            <w:tcW w:w="6771" w:type="dxa"/>
            <w:tcBorders/>
            <w:shd w:fill="FFFFFF" w:val="clear"/>
            <w:vAlign w:val="center"/>
          </w:tcPr>
          <w:p>
            <w:pPr>
              <w:pStyle w:val="TableContents"/>
              <w:bidi w:val="0"/>
              <w:spacing w:before="0" w:after="283"/>
              <w:jc w:val="left"/>
              <w:rPr/>
            </w:pPr>
            <w:r>
              <w:rPr/>
              <w:t>Prepaid stock based compensation</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14,985</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331" w:name="xdx_406_ecustom--InvestmentAcquiredThrou"/>
            <w:bookmarkEnd w:id="331"/>
          </w:p>
        </w:tc>
      </w:tr>
      <w:tr>
        <w:trPr/>
        <w:tc>
          <w:tcPr>
            <w:tcW w:w="6771" w:type="dxa"/>
            <w:tcBorders/>
            <w:shd w:fill="CCEEFF" w:val="clear"/>
            <w:vAlign w:val="center"/>
          </w:tcPr>
          <w:p>
            <w:pPr>
              <w:pStyle w:val="TableContents"/>
              <w:bidi w:val="0"/>
              <w:spacing w:before="0" w:after="283"/>
              <w:jc w:val="left"/>
              <w:rPr/>
            </w:pPr>
            <w:r>
              <w:rPr/>
              <w:t>Investment in Empress Royalty Corp. acquired through issuance of common stock</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10,484</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332" w:name="xdx_408_ecustom--CommonStockIssuedInSett"/>
            <w:bookmarkEnd w:id="332"/>
          </w:p>
        </w:tc>
      </w:tr>
      <w:tr>
        <w:trPr/>
        <w:tc>
          <w:tcPr>
            <w:tcW w:w="6771" w:type="dxa"/>
            <w:tcBorders/>
            <w:shd w:fill="FFFFFF" w:val="clear"/>
            <w:vAlign w:val="center"/>
          </w:tcPr>
          <w:p>
            <w:pPr>
              <w:pStyle w:val="TableContents"/>
              <w:bidi w:val="0"/>
              <w:spacing w:before="0" w:after="283"/>
              <w:jc w:val="left"/>
              <w:rPr/>
            </w:pPr>
            <w:r>
              <w:rPr/>
              <w:t>Common stock issued in settlement of accrued severance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bookmarkStart w:id="333" w:name="xdx_401_eus-gaap--ConversionOfStockAmoun"/>
            <w:bookmarkEnd w:id="333"/>
          </w:p>
        </w:tc>
      </w:tr>
      <w:tr>
        <w:trPr/>
        <w:tc>
          <w:tcPr>
            <w:tcW w:w="6771" w:type="dxa"/>
            <w:tcBorders/>
            <w:shd w:fill="CCEEFF" w:val="clear"/>
            <w:vAlign w:val="center"/>
          </w:tcPr>
          <w:p>
            <w:pPr>
              <w:pStyle w:val="TableContents"/>
              <w:bidi w:val="0"/>
              <w:spacing w:before="0" w:after="283"/>
              <w:jc w:val="left"/>
              <w:rPr/>
            </w:pPr>
            <w:r>
              <w:rPr/>
              <w:t>Series C convertible preferred stock deemed dividend</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174</w:t>
            </w:r>
          </w:p>
        </w:tc>
        <w:tc>
          <w:tcPr>
            <w:tcW w:w="112" w:type="dxa"/>
            <w:tcBorders/>
            <w:shd w:fill="CCEEFF" w:val="clear"/>
            <w:vAlign w:val="center"/>
          </w:tcPr>
          <w:p>
            <w:pPr>
              <w:pStyle w:val="TableContents"/>
              <w:bidi w:val="0"/>
              <w:spacing w:before="0" w:after="283"/>
              <w:jc w:val="left"/>
              <w:rPr/>
            </w:pPr>
            <w:r>
              <w:rPr/>
              <w:t> </w:t>
            </w:r>
            <w:bookmarkStart w:id="334" w:name="xdx_406_ecustom--CommonStockIssuedForCon"/>
            <w:bookmarkEnd w:id="334"/>
          </w:p>
        </w:tc>
      </w:tr>
      <w:tr>
        <w:trPr/>
        <w:tc>
          <w:tcPr>
            <w:tcW w:w="6771" w:type="dxa"/>
            <w:tcBorders/>
            <w:shd w:fill="FFFFFF" w:val="clear"/>
            <w:vAlign w:val="center"/>
          </w:tcPr>
          <w:p>
            <w:pPr>
              <w:pStyle w:val="TableContents"/>
              <w:bidi w:val="0"/>
              <w:spacing w:before="0" w:after="283"/>
              <w:jc w:val="left"/>
              <w:rPr/>
            </w:pPr>
            <w:r>
              <w:rPr/>
              <w:t>Common stock issued for conversion of note payable and accrued interest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509</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5" w:name="F_007"/>
      <w:bookmarkEnd w:id="335"/>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04_eus-gaap--OrganizationConsolidat"/>
      <w:bookmarkEnd w:id="336"/>
      <w:r>
        <w:rPr>
          <w:rFonts w:ascii="Times New Roman;Times;Serif" w:hAnsi="Times New Roman;Times;Serif"/>
          <w:b/>
          <w:i w:val="false"/>
          <w:caps w:val="false"/>
          <w:smallCaps w:val="false"/>
          <w:sz w:val="20"/>
        </w:rPr>
        <w:t>NOTE 1</w:t>
      </w:r>
      <w:r>
        <w:rPr>
          <w:rFonts w:ascii="Times New Roman;Times;Serif" w:hAnsi="Times New Roman;Times;Serif"/>
          <w:b w:val="false"/>
          <w:i w:val="false"/>
          <w:caps w:val="false"/>
          <w:smallCaps w:val="false"/>
          <w:sz w:val="20"/>
        </w:rPr>
        <w:t xml:space="preserve"> – </w:t>
      </w:r>
      <w:bookmarkStart w:id="337" w:name="xdx_826_zWf0nPaKq9F"/>
      <w:bookmarkEnd w:id="337"/>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(formerly known as BioSig Technologies, Inc.) (the “Company”, “we”, “us” and “our”) is a technology company with two principal lines of business: (i) digital infrastructure focused on the tokenization and exchange of real-world assets and other commodity-linked financial products and (ii) biomedical technology focused on advanced signal acquisition and processing solutions in electrophysiology through our PURE EP™ platform. On May 28, 2025, the Company acquired Streamex Exchange Corporation (“Streamex Exchange”), a software development company based in Vancouver, British Columbia. In connection with this strategic expansion, on September 12, 2025, the Company changed its corporate name from BioSig Technologies, Inc. to Streamex Corp., and effective September 12, 2025, the Company’s common stock began trading on The Nasdaq Capital Market under the ticker symbol “STEX” (formerly “BSGM”).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the acquisition of Streamex Exchange pursuant to that certain Share Purchase Agreement dated as of May 23, 2025 (as amended on May 27, 2025, the “Share Purchase Agreement”) by and among the Company, BST Sub ULC, an unlimited liability company organized under the laws of the Province of British Columbia and a wholly owned subsidiary of the Company (“ExchangeCo”), 1540875 B.C. Ltd., a British Columbia company and a wholly owned subsidiary of the Company (“Callco”), the shareholders of Streamex Exchange, and 1540873 B.C. Ltd., as trustee (the “Trustee”) under the exchange rights agreement entered into among the Company, ExchangeCo, Callco, and the Trustee (the “Exchange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continues to evaluate opportunities for its subsidiaries ViralClear Pharmaceuticals, Inc. (“ViralClear”) and BioSig AI Sciences, Inc. (“BioSig AI”). ViralClear’s business is currently dormant and ViralClear’s business objectives are being evaluated. BioSig AI’s business operations have currently been placed on hold. As of December 31, 2025 and 2024, the Company held majority interests of approximately </w:t>
      </w:r>
      <w:bookmarkStart w:id="338" w:name="xdx_90B_eus-gaap--EquityMethodInvestment"/>
      <w:bookmarkEnd w:id="338"/>
      <w:r>
        <w:rPr>
          <w:rFonts w:ascii="Times New Roman;Times;Serif" w:hAnsi="Times New Roman;Times;Serif"/>
          <w:b w:val="false"/>
          <w:i w:val="false"/>
          <w:caps w:val="false"/>
          <w:smallCaps w:val="false"/>
          <w:sz w:val="20"/>
        </w:rPr>
        <w:t xml:space="preserve">69.7% and </w:t>
      </w:r>
      <w:bookmarkStart w:id="339" w:name="xdx_900_eus-gaap--EquityMethodInvestment"/>
      <w:bookmarkEnd w:id="339"/>
      <w:r>
        <w:rPr>
          <w:rFonts w:ascii="Times New Roman;Times;Serif" w:hAnsi="Times New Roman;Times;Serif"/>
          <w:b w:val="false"/>
          <w:i w:val="false"/>
          <w:caps w:val="false"/>
          <w:smallCaps w:val="false"/>
          <w:sz w:val="20"/>
        </w:rPr>
        <w:t xml:space="preserve">69.08% in ViralClear, respectively. As of December 31, 2025 and 2024, the Company held majority interests of approximately </w:t>
      </w:r>
      <w:bookmarkStart w:id="340" w:name="xdx_90A_eus-gaap--EquityMethodInvestment"/>
      <w:bookmarkStart w:id="341" w:name="xdx_90E_eus-gaap--EquityMethodInvestment"/>
      <w:bookmarkEnd w:id="340"/>
      <w:bookmarkEnd w:id="341"/>
      <w:r>
        <w:rPr>
          <w:rFonts w:ascii="Times New Roman;Times;Serif" w:hAnsi="Times New Roman;Times;Serif"/>
          <w:b w:val="false"/>
          <w:i w:val="false"/>
          <w:caps w:val="false"/>
          <w:smallCaps w:val="false"/>
          <w:sz w:val="20"/>
        </w:rPr>
        <w:t>84.5% in BioSig 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2" w:name="xdx_802_eus-gaap--SubstantialDoubtAboutG"/>
      <w:bookmarkEnd w:id="342"/>
      <w:r>
        <w:rPr>
          <w:rFonts w:ascii="Times New Roman;Times;Serif" w:hAnsi="Times New Roman;Times;Serif"/>
          <w:b/>
          <w:i w:val="false"/>
          <w:caps w:val="false"/>
          <w:smallCaps w:val="false"/>
          <w:sz w:val="20"/>
        </w:rPr>
        <w:t>NOTE 2</w:t>
      </w:r>
      <w:r>
        <w:rPr>
          <w:rFonts w:ascii="Times New Roman;Times;Serif" w:hAnsi="Times New Roman;Times;Serif"/>
          <w:b w:val="false"/>
          <w:i w:val="false"/>
          <w:caps w:val="false"/>
          <w:smallCaps w:val="false"/>
          <w:sz w:val="20"/>
        </w:rPr>
        <w:t xml:space="preserve"> – </w:t>
      </w:r>
      <w:bookmarkStart w:id="343" w:name="xdx_820_zE5d2fTSuEa"/>
      <w:bookmarkEnd w:id="343"/>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working capital of approximately $</w:t>
      </w:r>
      <w:bookmarkStart w:id="344" w:name="xdx_906_ecustom--WorkingCaptalDeficit_iI"/>
      <w:bookmarkEnd w:id="344"/>
      <w:r>
        <w:rPr>
          <w:rFonts w:ascii="Times New Roman;Times;Serif" w:hAnsi="Times New Roman;Times;Serif"/>
          <w:b w:val="false"/>
          <w:i w:val="false"/>
          <w:caps w:val="false"/>
          <w:smallCaps w:val="false"/>
          <w:sz w:val="20"/>
        </w:rPr>
        <w:t>29.1 million and cash of $</w:t>
      </w:r>
      <w:bookmarkStart w:id="345" w:name="xdx_908_eus-gaap--CashAndCashEquivalents"/>
      <w:bookmarkEnd w:id="345"/>
      <w:r>
        <w:rPr>
          <w:rFonts w:ascii="Times New Roman;Times;Serif" w:hAnsi="Times New Roman;Times;Serif"/>
          <w:b w:val="false"/>
          <w:i w:val="false"/>
          <w:caps w:val="false"/>
          <w:smallCaps w:val="false"/>
          <w:sz w:val="20"/>
        </w:rPr>
        <w:t>20.3 million. For the year ended December 31, 2025, we used $</w:t>
      </w:r>
      <w:bookmarkStart w:id="346" w:name="xdx_901_eus-gaap--NetCashProvidedByUsedI"/>
      <w:bookmarkEnd w:id="346"/>
      <w:r>
        <w:rPr>
          <w:rFonts w:ascii="Times New Roman;Times;Serif" w:hAnsi="Times New Roman;Times;Serif"/>
          <w:b w:val="false"/>
          <w:i w:val="false"/>
          <w:caps w:val="false"/>
          <w:smallCaps w:val="false"/>
          <w:sz w:val="20"/>
        </w:rPr>
        <w:t>10.4 million in operating activities, used $</w:t>
      </w:r>
      <w:bookmarkStart w:id="347" w:name="xdx_909_eus-gaap--NetCashProvidedByUsedI"/>
      <w:bookmarkEnd w:id="347"/>
      <w:r>
        <w:rPr>
          <w:rFonts w:ascii="Times New Roman;Times;Serif" w:hAnsi="Times New Roman;Times;Serif"/>
          <w:b w:val="false"/>
          <w:i w:val="false"/>
          <w:caps w:val="false"/>
          <w:smallCaps w:val="false"/>
          <w:sz w:val="20"/>
        </w:rPr>
        <w:t>24.3 million in investing activities, and provided $</w:t>
      </w:r>
      <w:bookmarkStart w:id="348" w:name="xdx_90B_eus-gaap--NetCashProvidedByUsedI"/>
      <w:bookmarkEnd w:id="348"/>
      <w:r>
        <w:rPr>
          <w:rFonts w:ascii="Times New Roman;Times;Serif" w:hAnsi="Times New Roman;Times;Serif"/>
          <w:b w:val="false"/>
          <w:i w:val="false"/>
          <w:caps w:val="false"/>
          <w:smallCaps w:val="false"/>
          <w:sz w:val="20"/>
        </w:rPr>
        <w:t>54.9 million from financing activities, primarily from equity offerings and secured convertible debenture issuances, net of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products, including the Streamex Exchange’s digital asset infrastructure and PURE EP™ Platform initiatives, achieve sustained commercial success. Although the PURE EP™ Platform is commercially available, revenues to date have not been material, and the timing and extent of future revenues remain uncertain. Subsequent to year end, the Company launched GLDY and began accepting subscriptions; however, revenues to date have not been material. We expect to incur additional costs related to software development, regulatory compliance, and strategic partnerships prior to the commencement of any material revenue-generating activities. The timing and extent of any future revenues will depend on, among other things, continued investor adoption of GLDY, completion of development milestones, regulatory considerations, market conditions, and the successful commercialization of the Streamex Exchange platform and related offerings.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the Company strengthened its liquidity position through financing transactions and asset monetization activities and eliminated its outstanding secured debt. In January 2026, the Company completed an underwritten public offering generating net proceeds of approximately $</w:t>
      </w:r>
      <w:bookmarkStart w:id="349" w:name="xdx_90D_eus-gaap--ProceedsFromIssuanceIn"/>
      <w:bookmarkEnd w:id="349"/>
      <w:r>
        <w:rPr>
          <w:rFonts w:ascii="Times New Roman;Times;Serif" w:hAnsi="Times New Roman;Times;Serif"/>
          <w:b w:val="false"/>
          <w:i w:val="false"/>
          <w:caps w:val="false"/>
          <w:smallCaps w:val="false"/>
          <w:sz w:val="20"/>
        </w:rPr>
        <w:t>37.2 million. The Company also received approximately $</w:t>
      </w:r>
      <w:bookmarkStart w:id="350" w:name="xdx_90C_eus-gaap--ProceedsFromSaleAndMat"/>
      <w:bookmarkEnd w:id="350"/>
      <w:r>
        <w:rPr>
          <w:rFonts w:ascii="Times New Roman;Times;Serif" w:hAnsi="Times New Roman;Times;Serif"/>
          <w:b w:val="false"/>
          <w:i w:val="false"/>
          <w:caps w:val="false"/>
          <w:smallCaps w:val="false"/>
          <w:sz w:val="20"/>
        </w:rPr>
        <w:t>10.1 million from the sale of marketable securities and approximately $</w:t>
      </w:r>
      <w:bookmarkStart w:id="351" w:name="xdx_902_eus-gaap--SaleOfTrustAssetsToPay"/>
      <w:bookmarkEnd w:id="351"/>
      <w:r>
        <w:rPr>
          <w:rFonts w:ascii="Times New Roman;Times;Serif" w:hAnsi="Times New Roman;Times;Serif"/>
          <w:b w:val="false"/>
          <w:i w:val="false"/>
          <w:caps w:val="false"/>
          <w:smallCaps w:val="false"/>
          <w:sz w:val="20"/>
        </w:rPr>
        <w:t>26.4 million from the sale of gold assets previously classified as held for sale. In February 2026, following a partial conversion of the secured convertible debentures, the Company repaid the remaining outstanding balance for an aggregate cash payment of approximately $</w:t>
      </w:r>
      <w:bookmarkStart w:id="352" w:name="xdx_905_eus-gaap--DebtInstrumentPeriodic"/>
      <w:bookmarkEnd w:id="352"/>
      <w:r>
        <w:rPr>
          <w:rFonts w:ascii="Times New Roman;Times;Serif" w:hAnsi="Times New Roman;Times;Serif"/>
          <w:b w:val="false"/>
          <w:i w:val="false"/>
          <w:caps w:val="false"/>
          <w:smallCaps w:val="false"/>
          <w:sz w:val="20"/>
        </w:rPr>
        <w:t>38.9 million, and all related security interests were released. Based on our existing cash, together with proceeds received subsequent to year end, we believe we will have sufficient liquidity to meet our anticipated working capital requirements, capital expenditures, and other liquidity needs for at least the next twelve months from the issuance date of the consolidated financial statements included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3" w:name="xdx_80F_eus-gaap--SignificantAccountingP"/>
      <w:bookmarkEnd w:id="353"/>
      <w:r>
        <w:rPr>
          <w:rFonts w:ascii="Times New Roman;Times;Serif" w:hAnsi="Times New Roman;Times;Serif"/>
          <w:b/>
          <w:i w:val="false"/>
          <w:caps w:val="false"/>
          <w:smallCaps w:val="false"/>
          <w:sz w:val="20"/>
        </w:rPr>
        <w:t>NOTE 3</w:t>
      </w:r>
      <w:r>
        <w:rPr>
          <w:rFonts w:ascii="Times New Roman;Times;Serif" w:hAnsi="Times New Roman;Times;Serif"/>
          <w:b w:val="false"/>
          <w:i w:val="false"/>
          <w:caps w:val="false"/>
          <w:smallCaps w:val="false"/>
          <w:sz w:val="20"/>
        </w:rPr>
        <w:t xml:space="preserve"> – </w:t>
      </w:r>
      <w:bookmarkStart w:id="354" w:name="xdx_82F_z2ZQXfWxoUIa"/>
      <w:bookmarkEnd w:id="35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the following policies to be beneficial in understanding the judgments that are involved in the preparation of our consolidated financial statements and the uncertainties that could impact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5" w:name="xdx_846_eus-gaap--BasisOfAccountingPolic"/>
      <w:bookmarkEnd w:id="355"/>
      <w:r>
        <w:rPr>
          <w:rFonts w:ascii="Times New Roman;Times;Serif" w:hAnsi="Times New Roman;Times;Serif"/>
          <w:b w:val="false"/>
          <w:i/>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include the accounts of Streamex Corp. and its consolidated subsidiaries.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entities in which it has a controlling financial interest, including variable interest entities (“VIEs”) for which the Company is determined to be the primary beneficiary. Noncontrolling interests represent the portion of equity interests in consolidated subsidiaries not attributable to the Company and are reported as a separate component of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6" w:name="xdx_84E_eus-gaap--SegmentReportingPolicy"/>
      <w:bookmarkEnd w:id="356"/>
      <w:r>
        <w:rPr>
          <w:rFonts w:ascii="Times New Roman;Times;Serif" w:hAnsi="Times New Roman;Times;Serif"/>
          <w:b w:val="false"/>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its operating and reportable segments in accordance with ASC 280, Segment Reporting, based on the financial information regularly reviewed by the Chief Operating Decision Maker (“CODM”) for purposes of performance assessment and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CODM evaluates the Company’s financial performance and allocates resources on a consolidated basis. The Company manages its operations as one integrated business and does not prepare or review discrete financial information for individual business units or subsidiaries. Accordingly, the Company has concluded that it operates as a single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continue to monitor the CODM’s review practices and internal reporting structure and will update its segment disclosures in future periods if and when discrete financial information is regularly reviewed at a further disaggregated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7" w:name="xdx_840_eus-gaap--UseOfEstimates_zliGnpd"/>
      <w:bookmarkEnd w:id="357"/>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58" w:name="xdx_84A_eus-gaap--ConcentrationRiskCredi"/>
      <w:bookmarkEnd w:id="358"/>
      <w:r>
        <w:rPr>
          <w:rFonts w:ascii="Times New Roman;Times;Serif" w:hAnsi="Times New Roman;Times;Serif"/>
          <w:b w:val="false"/>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primarily of cash and accounts receivable. The Company places its cash with high-credit-quality financial institutions and, at times, balances may exceed federally insured limits. The Company has not experienced losses related to these balances. As of December 31, 2025 and 2024, deposits in excess of FDIC limits were $</w:t>
      </w:r>
      <w:bookmarkStart w:id="359" w:name="xdx_907_eus-gaap--Deposits_iI_pn5n6_c202"/>
      <w:bookmarkEnd w:id="359"/>
      <w:r>
        <w:rPr>
          <w:rFonts w:ascii="Times New Roman;Times;Serif" w:hAnsi="Times New Roman;Times;Serif"/>
          <w:b w:val="false"/>
          <w:i w:val="false"/>
          <w:caps w:val="false"/>
          <w:smallCaps w:val="false"/>
          <w:sz w:val="20"/>
        </w:rPr>
        <w:t xml:space="preserve">19.7 million and </w:t>
      </w:r>
      <w:bookmarkStart w:id="360" w:name="xdx_904_eus-gaap--Deposits_iI_pn5n6_dxL_"/>
      <w:bookmarkEnd w:id="360"/>
      <w:r>
        <w:rPr>
          <w:rFonts w:ascii="Times New Roman;Times;Serif" w:hAnsi="Times New Roman;Times;Serif"/>
          <w:b w:val="false"/>
          <w:i w:val="false"/>
          <w:caps w:val="false"/>
          <w:smallCaps w:val="false"/>
          <w:sz w:val="20"/>
        </w:rPr>
        <w:t>nil,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December 31, 2025, the Company held $</w:t>
      </w:r>
      <w:bookmarkStart w:id="361" w:name="xdx_902_eus-gaap--PaymentsForOtherDeposi"/>
      <w:bookmarkEnd w:id="361"/>
      <w:r>
        <w:rPr>
          <w:rFonts w:ascii="Times New Roman;Times;Serif" w:hAnsi="Times New Roman;Times;Serif"/>
          <w:b w:val="false"/>
          <w:i w:val="false"/>
          <w:caps w:val="false"/>
          <w:smallCaps w:val="false"/>
          <w:sz w:val="20"/>
        </w:rPr>
        <w:t>0.3 million in cash deposits with a Canadian financial institution that are not insured by the FDIC.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2" w:name="xdx_840_ecustom--AccountsReceivableandAl"/>
      <w:bookmarkEnd w:id="362"/>
      <w:r>
        <w:rPr>
          <w:rFonts w:ascii="Times New Roman;Times;Serif" w:hAnsi="Times New Roman;Times;Serif"/>
          <w:b w:val="false"/>
          <w:i/>
          <w:caps w:val="false"/>
          <w:smallCaps w:val="false"/>
          <w:sz w:val="20"/>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less allowances for credit losses , reflects the net realizable value of receivables and approximates fair value. When evaluating the adequacy of the allowance for doubtful accounts and the overall probability of collecting on receivables, we analyze historical experience, client credit-worthiness, the age of the trade receivable balances, current economic conditions that may affect a client’s ability to pay and current and projected economic trends and conditions at the balance sheet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was $</w:t>
      </w:r>
      <w:bookmarkStart w:id="363" w:name="xdx_906_eus-gaap--AllowanceForDoubtfulAc"/>
      <w:bookmarkEnd w:id="363"/>
      <w:r>
        <w:rPr>
          <w:rFonts w:ascii="Times New Roman;Times;Serif" w:hAnsi="Times New Roman;Times;Serif"/>
          <w:b w:val="false"/>
          <w:i w:val="false"/>
          <w:caps w:val="false"/>
          <w:smallCaps w:val="false"/>
          <w:sz w:val="20"/>
        </w:rPr>
        <w:t>109 and $</w:t>
      </w:r>
      <w:bookmarkStart w:id="364" w:name="xdx_904_eus-gaap--AllowanceForDoubtfulAc"/>
      <w:bookmarkEnd w:id="364"/>
      <w:r>
        <w:rPr>
          <w:rFonts w:ascii="Times New Roman;Times;Serif" w:hAnsi="Times New Roman;Times;Serif"/>
          <w:b w:val="false"/>
          <w:i w:val="false"/>
          <w:caps w:val="false"/>
          <w:smallCaps w:val="false"/>
          <w:sz w:val="20"/>
        </w:rPr>
        <w:t>0 as of December 31, 2025 and 2024, respectively. The Company believes that its reserve is adequate, however results may differ in future periods. For the year ended December 31, 2025 and 2024, bad debt expense totaled $</w:t>
      </w:r>
      <w:bookmarkStart w:id="365" w:name="xdx_901_eus-gaap--ProvisionForDoubtfulAc"/>
      <w:bookmarkEnd w:id="365"/>
      <w:r>
        <w:rPr>
          <w:rFonts w:ascii="Times New Roman;Times;Serif" w:hAnsi="Times New Roman;Times;Serif"/>
          <w:b w:val="false"/>
          <w:i w:val="false"/>
          <w:caps w:val="false"/>
          <w:smallCaps w:val="false"/>
          <w:sz w:val="20"/>
        </w:rPr>
        <w:t>109 and $</w:t>
      </w:r>
      <w:bookmarkStart w:id="366" w:name="xdx_90E_eus-gaap--ProvisionForDoubtfulAc"/>
      <w:bookmarkEnd w:id="366"/>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7" w:name="xdx_84C_eus-gaap--RevenueFromContractWit"/>
      <w:bookmarkEnd w:id="367"/>
      <w:r>
        <w:rPr>
          <w:rFonts w:ascii="Times New Roman;Times;Serif" w:hAnsi="Times New Roman;Times;Serif"/>
          <w:b w:val="false"/>
          <w:i/>
          <w:caps w:val="false"/>
          <w:smallCaps w:val="false"/>
          <w:sz w:val="20"/>
        </w:rPr>
        <w:t xml:space="preserve">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revenue in accordance with Topic 606, Revenue from Contracts with Customers. We recognize revenue based on the five-step model; (i) identify the contract with the customer; (ii) identify the performance obligation in the contract; (iii) determine the contract price; (iv) allocate the transaction price; and (v) recognize revenue as each performance obligation is satisfied. If we determine that a contract with enforceable rights and obligations does not exist, revenues are deferred until all criteria for an enforceable contract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derived its revenue primarily from the sale of its medical device, the PURE EP™ Platform, as well as related support and maintenance services and software upgrades in connection with the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customer which accounts for </w:t>
      </w:r>
      <w:bookmarkStart w:id="368" w:name="xdx_904_eus-gaap--ConcentrationRiskPerce"/>
      <w:bookmarkEnd w:id="368"/>
      <w:r>
        <w:rPr>
          <w:rFonts w:ascii="Times New Roman;Times;Serif" w:hAnsi="Times New Roman;Times;Serif"/>
          <w:b w:val="false"/>
          <w:i w:val="false"/>
          <w:caps w:val="false"/>
          <w:smallCaps w:val="false"/>
          <w:sz w:val="20"/>
        </w:rPr>
        <w:t>97.5% of our revenue in the year ended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369" w:name="xdx_84B_eus-gaap--InvestmentHoldingsText"/>
      <w:bookmarkEnd w:id="369"/>
      <w:r>
        <w:rPr>
          <w:rFonts w:ascii="Times New Roman;Times;Serif" w:hAnsi="Times New Roman;Times;Serif"/>
          <w:b w:val="false"/>
          <w:i/>
          <w:caps w:val="false"/>
          <w:smallCaps w:val="false"/>
          <w:sz w:val="20"/>
        </w:rPr>
        <w:t>Restricted Gold Holdings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LBMA Good Delivery gold bullion on an allocated, physically segregated basis in Brink’s secure vaults and other secure third-party storage locations. Gold is maintained in a securities account with Gold Bullion International, LLC (“GBI”), which acts as the securities intermediary under UCC Article 8. The gold is pledged as collateral under the Company’s Secured Convertible Debenture Purchase Agreement and related Guaranty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is accounted for as a long-lived tangible asset within the scope of ASC 360. Prior to management’s commitment to sell the gold on December 29, 2025, the asset was measured at historical cost, including purchase price and directly attributable costs necessary to bring the asset to its intended condition and location. Upon meeting the held-for-sale criteria in ASC 360 on December 29, 2025, the gold was reclassified as held for sale and measured at the lower of carrying amount or fair value less cost to sell until disposal. Gold is presented as Other Assets held for sale – Restricted Gold in the Consolidated Balance Sheets. Ongoing storage, insurance, and administrative custody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impairment under ASC 360-10-35 when triggering events occur. Prior to classification as held for sale, commodity price volatility alone does not constitute an impairment indicator; impairment would be considered only if legal, custodial, regulatory, or contractual events impair the Company’s ability to access or realize economic benefits from the asset. Once classified as held for sale, the gold is carried at the lower of carrying amount or fair value less cost to sell, with any write-downs recognized in earnings and subsequent increases recognized only to the extent of previously recognized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0" w:name="xdx_842_eus-gaap--LesseeLeasesPolicyText"/>
      <w:bookmarkEnd w:id="370"/>
      <w:r>
        <w:rPr>
          <w:rFonts w:ascii="Times New Roman;Times;Serif" w:hAnsi="Times New Roman;Times;Serif"/>
          <w:b w:val="false"/>
          <w:i/>
          <w:caps w:val="false"/>
          <w:smallCaps w:val="false"/>
          <w:sz w:val="20"/>
        </w:rPr>
        <w:t>Leases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 contractual arrangement is a lease at inception. Operating leases are included in operating lease right-of-use (“ROU”) assets, current operating lease liabilities, and noncurrent operating lease liabilities on the Company’s Consolidated Balance Sheets. The Company evaluates and classifies leases as operating or finance leases for financial reporting purposes. The classification evaluation begins at the commencement date and the lease term used in the evaluation includes the non-cancellable period for which the Company has the right to use the underlying asset, together with renewal option periods when the exercise of the renewal option is reasonably certain and failure to exercise such option which result in an economic penalty. All the Company’s real estate leases are classified as operating leases. ROU assets represent the Company’s right to use an underlying asset for the lease term and lease liabilities represent the Company’s obligation to make lease payments arising from the lease. Operating lease ROU assets and liabilities are recognized at the commencement date of the lease based on the present value of lease payments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included in the present value are fixed lease payments. As most of the Company’s leases do not provide an implicit rate, the Company estimates its collateralized incremental borrowing rate, based on information available at the commencement date, in determining the present value of lease payments. The Company applies the portfolio approach in applying discount rates to its classes of leases. The operating lease ROU assets include any payments made before the commencement date. Lease expense for lease payments is recognized on a straight-line basis over the lease term. The Company does not currently have subleases. The Company does not currently have residual value guarantees or restrictive covenants in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71" w:name="xdx_84D_eus-gaap--PropertyPlantAndEquipm"/>
      <w:bookmarkEnd w:id="371"/>
      <w:r>
        <w:rPr>
          <w:rFonts w:ascii="Times New Roman;Times;Serif" w:hAnsi="Times New Roman;Times;Serif"/>
          <w:b w:val="false"/>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depreciated and stated at cost less accumulated depreciation. Depreciation is computed using the straight-line method over the estimated useful lives of the assets or the remaining lease term, whichever is shorter.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2" w:name="xdx_890_eus-gaap--ScheduleOfPublicUtilit"/>
      <w:bookmarkEnd w:id="372"/>
      <w:r>
        <w:rPr>
          <w:rFonts w:ascii="Times New Roman;Times;Serif" w:hAnsi="Times New Roman;Times;Serif"/>
          <w:b w:val="false"/>
          <w:i w:val="false"/>
          <w:caps w:val="false"/>
          <w:smallCaps w:val="false"/>
          <w:sz w:val="20"/>
        </w:rPr>
        <w:t>The estimated useful lives of property and equipment assets as of December 31, 2025 and 2024 are described below:</w:t>
      </w:r>
    </w:p>
    <w:p>
      <w:pPr>
        <w:pStyle w:val="TextBody"/>
        <w:bidi w:val="0"/>
        <w:spacing w:before="0" w:after="0"/>
        <w:ind w:left="0" w:right="0" w:hanging="0"/>
        <w:jc w:val="both"/>
        <w:rPr>
          <w:caps w:val="false"/>
          <w:smallCaps w:val="false"/>
        </w:rPr>
      </w:pPr>
      <w:r>
        <w:rPr>
          <w:caps w:val="false"/>
          <w:smallCaps w:val="false"/>
        </w:rPr>
        <w:t> </w:t>
      </w:r>
      <w:bookmarkStart w:id="373" w:name="xdx_8B0_z6qjJe0KxuW1"/>
      <w:bookmarkEnd w:id="373"/>
      <w:r>
        <w:rPr>
          <w:rFonts w:ascii="Times New Roman;Times;Serif" w:hAnsi="Times New Roman;Times;Serif"/>
          <w:b w:val="false"/>
          <w:i w:val="false"/>
          <w:caps w:val="false"/>
          <w:smallCaps w:val="false"/>
          <w:sz w:val="20"/>
        </w:rPr>
        <w:t>SCHEDULE OF USEFUL LIVES OF PROPERTY PLANT AND EQUIPMENT</w:t>
      </w:r>
    </w:p>
    <w:tbl>
      <w:tblPr>
        <w:tblW w:w="6610" w:type="dxa"/>
        <w:jc w:val="left"/>
        <w:tblInd w:w="0" w:type="dxa"/>
        <w:tblLayout w:type="fixed"/>
        <w:tblCellMar>
          <w:top w:w="0" w:type="dxa"/>
          <w:left w:w="0" w:type="dxa"/>
          <w:bottom w:w="0" w:type="dxa"/>
          <w:right w:w="0" w:type="dxa"/>
        </w:tblCellMar>
      </w:tblPr>
      <w:tblGrid>
        <w:gridCol w:w="2180"/>
        <w:gridCol w:w="60"/>
        <w:gridCol w:w="4370"/>
      </w:tblGrid>
      <w:tr>
        <w:trPr/>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Property and Equipment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2180" w:type="dxa"/>
            <w:tcBorders>
              <w:top w:val="single" w:sz="8" w:space="0" w:color="000000"/>
            </w:tcBorders>
            <w:shd w:fill="CCEEFF" w:val="clear"/>
            <w:tcMar>
              <w:top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0" w:type="dxa"/>
            <w:tcBorders>
              <w:top w:val="single" w:sz="8" w:space="0" w:color="000000"/>
            </w:tcBorders>
            <w:shd w:fill="CCEEFF" w:val="clear"/>
            <w:tcMar>
              <w:top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4" w:name="xdx_909_eus-gaap--PropertyPlantAndEquipm"/>
            <w:bookmarkEnd w:id="374"/>
            <w:r>
              <w:rPr>
                <w:rFonts w:ascii="Times New Roman;Times;Serif" w:hAnsi="Times New Roman;Times;Serif"/>
                <w:b w:val="false"/>
                <w:i w:val="false"/>
                <w:caps w:val="false"/>
                <w:smallCaps w:val="false"/>
                <w:sz w:val="20"/>
              </w:rPr>
              <w:t>3 years</w:t>
            </w:r>
          </w:p>
        </w:tc>
      </w:tr>
      <w:tr>
        <w:trPr/>
        <w:tc>
          <w:tcPr>
            <w:tcW w:w="2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5" w:name="xdx_90A_eus-gaap--PropertyPlantAndEquipm"/>
            <w:bookmarkEnd w:id="375"/>
            <w:r>
              <w:rPr>
                <w:rFonts w:ascii="Times New Roman;Times;Serif" w:hAnsi="Times New Roman;Times;Serif"/>
                <w:b w:val="false"/>
                <w:i w:val="false"/>
                <w:caps w:val="false"/>
                <w:smallCaps w:val="false"/>
                <w:sz w:val="20"/>
              </w:rPr>
              <w:t>5 years</w:t>
            </w:r>
          </w:p>
        </w:tc>
      </w:tr>
      <w:tr>
        <w:trPr/>
        <w:tc>
          <w:tcPr>
            <w:tcW w:w="218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Testing/Demo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6" w:name="xdx_90F_eus-gaap--PropertyPlantAndEquipm"/>
            <w:bookmarkEnd w:id="376"/>
            <w:r>
              <w:rPr>
                <w:rFonts w:ascii="Times New Roman;Times;Serif" w:hAnsi="Times New Roman;Times;Serif"/>
                <w:b w:val="false"/>
                <w:i w:val="false"/>
                <w:caps w:val="false"/>
                <w:smallCaps w:val="false"/>
                <w:sz w:val="20"/>
              </w:rPr>
              <w:t>3 years</w:t>
            </w:r>
          </w:p>
        </w:tc>
      </w:tr>
      <w:tr>
        <w:trPr/>
        <w:tc>
          <w:tcPr>
            <w:tcW w:w="21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7" w:name="xdx_901_eus-gaap--PropertyPlantAndEquipm"/>
            <w:bookmarkEnd w:id="377"/>
            <w:r>
              <w:rPr>
                <w:rFonts w:ascii="Times New Roman;Times;Serif" w:hAnsi="Times New Roman;Times;Serif"/>
                <w:b w:val="false"/>
                <w:i w:val="false"/>
                <w:caps w:val="false"/>
                <w:smallCaps w:val="false"/>
                <w:sz w:val="20"/>
              </w:rPr>
              <w:t>Lesser of estimated useful life or remaining lease term</w:t>
            </w:r>
          </w:p>
        </w:tc>
      </w:tr>
    </w:tbl>
    <w:p>
      <w:pPr>
        <w:pStyle w:val="TextBody"/>
        <w:bidi w:val="0"/>
        <w:spacing w:before="0" w:after="0"/>
        <w:ind w:left="0" w:right="0" w:hanging="0"/>
        <w:jc w:val="both"/>
        <w:rPr>
          <w:caps w:val="false"/>
          <w:smallCaps w:val="false"/>
        </w:rPr>
      </w:pPr>
      <w:bookmarkStart w:id="378" w:name="xdx_8A1_zCxYTguf1Ul4"/>
      <w:bookmarkEnd w:id="3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at least annually the recoverability of property and equipment for possible impairment whenever events or circumstances indicate that the carrying amount of such assets may not be recoverable. If such review indicates that the carrying amount of property and equipment assets is not recoverable, and the asset’s fair value is less than the carrying amount, an impairment loss is recognized in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re-assessed its carrying amounts of certain property and equipment due to reduced manufacturing of its commercial products and determined that these carrying amounts exceeded the estimated undiscounted future cash flows. Accordingly, the Company recorded a $</w:t>
      </w:r>
      <w:bookmarkStart w:id="379" w:name="xdx_908_eus-gaap--ImpairmentOfLongLivedA"/>
      <w:bookmarkEnd w:id="379"/>
      <w:r>
        <w:rPr>
          <w:rFonts w:ascii="Times New Roman;Times;Serif" w:hAnsi="Times New Roman;Times;Serif"/>
          <w:b w:val="false"/>
          <w:i w:val="false"/>
          <w:caps w:val="false"/>
          <w:smallCaps w:val="false"/>
          <w:sz w:val="20"/>
        </w:rPr>
        <w:t>253 impairment charge to current operations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0" w:name="xdx_84B_eus-gaap--BusinessCombinationsPo"/>
      <w:bookmarkEnd w:id="380"/>
      <w:r>
        <w:rPr>
          <w:rFonts w:ascii="Times New Roman;Times;Serif" w:hAnsi="Times New Roman;Times;Serif"/>
          <w:b w:val="false"/>
          <w:i/>
          <w:caps w:val="false"/>
          <w:smallCaps w:val="false"/>
          <w:sz w:val="20"/>
        </w:rPr>
        <w:t>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and measures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the acquired business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 Acquisition-related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1" w:name="xdx_847_eus-gaap--IntangibleAssetsFinite"/>
      <w:bookmarkEnd w:id="381"/>
      <w:r>
        <w:rPr>
          <w:rFonts w:ascii="Times New Roman;Times;Serif" w:hAnsi="Times New Roman;Times;Serif"/>
          <w:b w:val="false"/>
          <w:i/>
          <w:caps w:val="false"/>
          <w:smallCaps w:val="false"/>
          <w:sz w:val="20"/>
        </w:rPr>
        <w:t xml:space="preserve">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a definite useful life are recorded at cost and amortized over their estimated useful lives on a straight-line basis. The Company reviews the estimated remaining useful lives of its intangible assets each reporting period and revises those estimates when appropriate. Amortization expense is recorded in depreciation and amortization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recoverability of definite-lived intangible assets whenever events or changes in circumstances indicate that the carrying amount of an asset may not be recoverable. When such indicators exist, the Company performs a recoverability test by comparing the carrying amount of the asset to the undiscounted future cash flows expected to result from its use and eventual disposition. If the carrying amount exceeds the undiscounted future cash flows, an impairment loss is recognized for the excess of the carrying amount over the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2" w:name="xdx_84D_eus-gaap--GoodwillAndIntangibleA"/>
      <w:bookmarkEnd w:id="382"/>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cost of an acquired business over the fair value assigned to its net assets. Goodwill is not amortized but is tested for impairment at a reporting unit level on an annual basis or when an event occurs, or circumstances change that would more likely than not reduce the fair value of a reporting unit below its carrying amount. Events or changes in circumstances that may trigger interim impairment reviews include, but not limited to, significant adverse changes in business climate, operating results, planned investments in the reporting unit, or an expectation that the carrying amount may not be recoverable, among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first assess qualitative factors to determine whether it is more likely than not that the fair value of a reporting unit is less than its carrying amount. If, after assessing the totality of events and circumstances, the Company determines it is more likely than not that the fair value of the reporting unit is greater than it’s carrying amount, an impairment test is unnecessary. If an impairment test is necessary, the Company will estimate the fair value of its related reporting units. If the carrying value of a reporting unit exceeds its fair value, the goodwill of that reporting unit is determined to be impaired, and the Company will proceed with recording an impairment charge equal to the excess of the carrying value over the related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goodwill in connection with a business acquisition. The Company performs its annual goodwill impairment test in the fourth quarter of each fiscal year and evaluates goodwill for impairment more frequently if events or changes in circumstances indicate that it is more likely than not that the fair value of a reporting unit is less than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its annual impairment assessment as of December 31, 2025, the Company performed a qualitative goodwill impairment assessment in accordance with ASC 350-20. Management evaluated the totality of relevant events and circumstances, including macroeconomic conditions, industry and market considerations, cost factors, overall financial performance, entity-specific events, and other factors affecting the reporting unit. Based on this assessment, management concluded that it is not more likely than not that the fair value of the Company’s reporting unit was less than its carrying amount as of December 31, 2025. Accordingly, no quantitative goodwill impairment test was required, and </w:t>
      </w:r>
      <w:bookmarkStart w:id="383" w:name="xdx_90B_eus-gaap--ImpairmentOfLongLivedA"/>
      <w:bookmarkEnd w:id="383"/>
      <w:r>
        <w:rPr>
          <w:rFonts w:ascii="Times New Roman;Times;Serif" w:hAnsi="Times New Roman;Times;Serif"/>
          <w:b w:val="false"/>
          <w:i w:val="false"/>
          <w:caps w:val="false"/>
          <w:smallCaps w:val="false"/>
          <w:sz w:val="20"/>
        </w:rPr>
        <w:t>no impairment charge was recorded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4" w:name="xdx_840_eus-gaap--MarketableSecuritiesPo"/>
      <w:bookmarkEnd w:id="384"/>
      <w:r>
        <w:rPr>
          <w:rFonts w:ascii="Times New Roman;Times;Serif" w:hAnsi="Times New Roman;Times;Serif"/>
          <w:b w:val="false"/>
          <w:i/>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equity securities consist of publicly traded equity securities. These securities are classified within current assets on the Consolidated Balance Sheets because they are available to be converted into cash to fund current operations without restriction. These marketable equity securities are measured at fair value at each reporting date with gains and losses recognized in Other income (expense), net on our Consolidated Statements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5" w:name="xdx_848_ecustom--WarrantsPolicyPolicyTex"/>
      <w:bookmarkEnd w:id="385"/>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issued warrants to purchase shares of its common stock in connection with prior equity financings. The Company evaluates its warrants at issuance and at each reporting date to determine whether such instruments should be classified as equity or as liabilities in accordance with ASC 815, Derivatives and Hedging, and ASC 480, Distinguishing Liabilities from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do not meet the criteria for equity classification, including those that contain provisions requiring or permitting net cash settlement, variable settlement outcomes, or adjustments based on inputs other than the Company’s stock price, are classified as derivative liabilities and measured at fair value, with changes in fair value recognized in earnings. Warrants that meet the criteria for equity classification are recorded in additional paid-in capital and are not subsequently remeasured. For an overview of the Company’s derivative financial instruments and related disclosures required by ASC 815, see Note 17, Derivative Financial Instruments and Hedging Activities. Refer to Note 8, Options, Restricted Stock Units and Warrants, for warrant terms, activity, and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6" w:name="xdx_849_eus-gaap--FairValueMeasurementPo"/>
      <w:bookmarkEnd w:id="386"/>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fair value accounting for all financial assets and liabilities and non-financial assets and liabilities that are recognized or disclosed at fair value in the financial statements on a recurring basis. We define fair value as the price that would be received to sell an asset or paid to transfer a liability in an orderly transaction between market participants at the measurement date. When determining the fair value measurements for assets and liabilities, we consider the principal or most advantageous market in which we would transact and the market-based risk measurements or assumptions that market participants would use in pricing the asset or liability, such as risks inherent in valuation techniques, transfer restrictions and credit risk. Fair value is estimated by applying the following three-level hierarchy, which prioritizes the inputs used to measure fair value based on the lowest level of input that is available and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w:t>
      </w:r>
      <w:r>
        <w:rPr>
          <w:rFonts w:ascii="Times New Roman;Times;Serif" w:hAnsi="Times New Roman;Times;Serif"/>
          <w:b w:val="false"/>
          <w:i w:val="false"/>
          <w:caps w:val="false"/>
          <w:smallCaps w:val="false"/>
          <w:sz w:val="20"/>
        </w:rPr>
        <w:t>-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w:t>
      </w:r>
      <w:r>
        <w:rPr>
          <w:rFonts w:ascii="Times New Roman;Times;Serif" w:hAnsi="Times New Roman;Times;Serif"/>
          <w:b w:val="false"/>
          <w:i w:val="false"/>
          <w:caps w:val="false"/>
          <w:smallCaps w:val="false"/>
          <w:sz w:val="20"/>
        </w:rPr>
        <w:t>- Inputs that are generally unobservable and typically reflect management’s estimate of assumptions that market participants would use in pricing the asset or liability.</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7" w:name="xdx_843_eus-gaap--DerivativesPolicyTextB"/>
      <w:bookmarkEnd w:id="387"/>
      <w:r>
        <w:rPr>
          <w:rFonts w:ascii="Times New Roman;Times;Serif" w:hAnsi="Times New Roman;Times;Serif"/>
          <w:b w:val="false"/>
          <w:i/>
          <w:caps w:val="false"/>
          <w:smallCaps w:val="false"/>
          <w:sz w:val="20"/>
        </w:rPr>
        <w:t>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a Canadian subsidiary of the Company, issued exchangeable shares (the “Exchangeable Shares”) that are exchangeable, on a one for one basis (subject to adjustment), into shares of the Company’s common stock. The Exchangeable Shares provide the holders with economic rights that are substantially similar to the Company’s common stock, including dividend and liquidation rights, and voting rights through a special voting preferred share held by a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Exchangeable Shares under ASC 815, Derivatives and Hedging, including the guidance in ASC 815 40 on contracts indexed to, and potentially settled in, an entity’s own equity. At issuance and through November 4, 2025, the Exchangeable Shares were not eligible for equity classification because the Company’s obligation to deliver shares upon exchange was subject to an exercise contingency related to the NASDAQ 19.99% limitation (as defined below) and related stockholder approval requirements. Specifically, prior to stockholder approval, the number of shares that could be issued upon exchange was limited, and the exchange ratio was subject to adjustment (including a potential increase from 1.00 to 1.25 shares) if stockholder approval was not obtained within a specified period. As a result, the Exchangeable Shares did not qualify for the scope exception in ASC 815-10-15-74 and were classified as a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was initially recognized at fair value on the acquisition date and was subsequently remeasured at fair value through earnings at each reporting date until the exercise contingency was resolved. The fair value measurement prior to stockholder approval utilized valuation techniques with significant unobservable inputs and was therefore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obtained stockholder approval, which removed the conversion cap and allowed holders to exchange the Exchangeable Shares into the Company’s common stock in accordance with the exchange rights. Upon satisfaction of the stockholder approval condition and removal of the NASDAQ 19.99% limitation, the Exchangeable Shares no longer contained an exercise contingency that precluded equity classification. Accordingly, on November 4, 2025, the Company reclassified the derivative liability associated with the Exchangeable Shares to permanent equity. After reclassification, the Exchangeable Shares are no longer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Stockholder Equity, for related equity and special voting preferred stock information of the Exchangeable Shares. For additional information regarding the Exchangeable Shares including the acquisition structure and terms, see Note 11, Business Acquisition. For an overview of the Company’s derivative financial instruments and related disclosures required by ASC 815, see Note 17, Derivative Financial Instruments and Hedging Activities. Refer to Note 12, Fair Value Measurements, for additional information regarding the fair value measurement related to the Exchangeable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8" w:name="xdx_84D_eus-gaap--DebtPolicyTextBlock_zd"/>
      <w:bookmarkEnd w:id="388"/>
      <w:r>
        <w:rPr>
          <w:rFonts w:ascii="Times New Roman;Times;Serif" w:hAnsi="Times New Roman;Times;Serif"/>
          <w:b w:val="false"/>
          <w:i/>
          <w:caps w:val="false"/>
          <w:smallCaps w:val="false"/>
          <w:sz w:val="20"/>
        </w:rPr>
        <w:t>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secured convertible debentures (the “Convertible Debentures”) as debt instruments and records them at amortized cost, net of original issue discount (“OID”), debt issuance costs, and any debt discount resulting from the bifurcation of embedded derivatives.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proceeds received between (i) the host debt component and (ii) any embedded derivative features that require bifurcation (see “Embedded Derivative Liability” below). The host debt is initially recorded at its allocated amount, with the difference between the principal amount and the initial carrying amount recorded as debt discount including OID, issuance costs, and the bifurcation discount and amortized to interest expense using the effective interest method over the estimated life of the debenture.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conversions of the Convertible Debentures in accordance with the applicable debt conversion guidance, recognizing the issuance of equity for the carrying amount of the debt extinguished (including any related unamortized discounts and issuance costs associated with the extinguished portion) and derecognizing any related embedded derivative liability associated with the converted portion at its fair value on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repayments and extinguishments of the Convertible Debentures in accordance with the debt extinguishment guidance. Upon extinguishment, the Company derecognizes the carrying amount of the debt, derecognizes any related embedded derivative liability, records any cash paid including any prepayment premium, and recognizes the resulting gain or loss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89" w:name="xdx_842_eus-gaap--DerivativesEmbeddedDer"/>
      <w:bookmarkEnd w:id="389"/>
      <w:r>
        <w:rPr>
          <w:rFonts w:ascii="Times New Roman;Times;Serif" w:hAnsi="Times New Roman;Times;Serif"/>
          <w:b w:val="false"/>
          <w:i/>
          <w:caps w:val="false"/>
          <w:smallCaps w:val="false"/>
          <w:sz w:val="20"/>
        </w:rPr>
        <w:t>Embedded Derivative Liability — Bifurcated Conversion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contain an embedded conversion option that provides the holder with the right to convert principal and accrued interest into a variable number of the Company’s common shares based on a conversion price that is the lower of (i) a fixed price (subject to a one-time downward reset after registration effectiveness) and (ii) 97% of the lowest daily VWAP over a defined look-back period, subject to a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embedded features in its debt instruments under ASC 815 to determine whether such features are required to be bifurcated from the host contract and accounted for as derivatives. The conversion option meets the definition of a derivative and is not clearly and closely related to the host debt because the economic exposure of the conversion feature is primarily linked to the Company’s equity price rather than interest rate risk inherent in a conventional debt host.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conversion option does not qualify for the scope exception for certain contracts indexed to, and potentially settled in, an entity’s own equity because the conversion terms are not “fixed-for-fixed” (i.e., the conversion price is variable and may be adjusted based on future VWAP, subject to a floor and other reset provisions). Accordingly, the Company bifurcates the conversion option and records it as an embedded derivative liability measured at fair value, with changes in fair value recognized in earnings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the embedded derivative liability is recorded at fair value, with an offsetting debt discount recorded as a reduction of the carrying amount of the host debt. This debt discount is amortized to interest expense using the effective interest method over the estimated term of the debenture. For an overview of the Company’s derivative financial instruments and related disclosures required by ASC 815, see Note 17, Derivative Financial Instruments and Hedging Activities. Refer to Note 12, Fair Value Measurements, for additional information regarding the fair value measurement related to the embedded derivative liability. For the terms of the Convertible Debentures and related accounting, see Note 15,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0" w:name="xdx_840_eus-gaap--ShareBasedCompensation"/>
      <w:bookmarkEnd w:id="390"/>
      <w:r>
        <w:rPr>
          <w:rFonts w:ascii="Times New Roman;Times;Serif" w:hAnsi="Times New Roman;Times;Serif"/>
          <w:b w:val="false"/>
          <w:i/>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cost of services received in exchange for an award of equity instruments based on the fair value of the award as measured on the grant date. The fair value amount is then recognized over the period during which services are required to be provided in exchange for the award, usually the vesting period. The Company recognizes forfeitures on stock 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1" w:name="xdx_849_eus-gaap--ResearchAndDevelopment"/>
      <w:bookmarkEnd w:id="391"/>
      <w:r>
        <w:rPr>
          <w:rFonts w:ascii="Times New Roman;Times;Serif" w:hAnsi="Times New Roman;Times;Serif"/>
          <w:b w:val="false"/>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research and development costs in accordance with the Accounting Standards Codification subtopic 730-10, Research and Development (“ASC 730-10”). Under ASC 730-10, all research and development costs must be charged to expense as incurred. Accordingly, internal research and development costs are expensed as incurred. Third-party research and developments costs are expensed when the contracted work has been performed or as milestone results have been achieved. Company-sponsored research and development costs related to both present and future products are expensed in the period incurred. The Company incurred research and development expenses of $</w:t>
      </w:r>
      <w:bookmarkStart w:id="392" w:name="xdx_901_eus-gaap--ResearchAndDevelopment"/>
      <w:bookmarkEnd w:id="392"/>
      <w:r>
        <w:rPr>
          <w:rFonts w:ascii="Times New Roman;Times;Serif" w:hAnsi="Times New Roman;Times;Serif"/>
          <w:b w:val="false"/>
          <w:i w:val="false"/>
          <w:caps w:val="false"/>
          <w:smallCaps w:val="false"/>
          <w:sz w:val="20"/>
        </w:rPr>
        <w:t>31 and $</w:t>
      </w:r>
      <w:bookmarkStart w:id="393" w:name="xdx_901_eus-gaap--ResearchAndDevelopment"/>
      <w:bookmarkEnd w:id="393"/>
      <w:r>
        <w:rPr>
          <w:rFonts w:ascii="Times New Roman;Times;Serif" w:hAnsi="Times New Roman;Times;Serif"/>
          <w:b w:val="false"/>
          <w:i w:val="false"/>
          <w:caps w:val="false"/>
          <w:smallCaps w:val="false"/>
          <w:sz w:val="20"/>
        </w:rPr>
        <w:t>0.8 million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4" w:name="xdx_84B_ecustom--DeferredIncomeTaxesPoli"/>
      <w:bookmarkEnd w:id="394"/>
      <w:r>
        <w:rPr>
          <w:rFonts w:ascii="Times New Roman;Times;Serif" w:hAnsi="Times New Roman;Times;Serif"/>
          <w:b w:val="false"/>
          <w:i/>
          <w:caps w:val="false"/>
          <w:smallCaps w:val="false"/>
          <w:sz w:val="20"/>
        </w:rPr>
        <w:t>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as well as operating loss, capital loss and tax credit carryforwards. Deferred tax assets and liabilities are classified as non-current. Valuation allowances are established against deferred tax assets if it is more likely than not that the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or laws is recognized in operations in the period that includes the date of the enactment.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in the United States and Canada, and deferred tax assets and liabilities are recorded for temporary differences and carryforwards in the jurisdictions in which they arise, using enacted tax rates applicable in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or benefit from, income taxes includes deferred taxes resulting from the temporary differences in income for financial and tax purposes using the liability method. Such temporary differences result primarily from the differences in the carrying value of assets and liabilities. Future realization of deferred income tax assets requires sufficient taxable income within the carryback, carryforward period available under tax law. Management evaluates, on a quarterly basis whether, based on all available evidence, it is probable that the deferred income tax assets are realizable. Valuation allowances are established when it is more likely than not that the tax benefit of the deferred tax asset will not be realized. The evaluation, as prescribed by ASC 740-10,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95" w:name="xdx_84A_eus-gaap--IncomeTaxUncertainties"/>
      <w:bookmarkEnd w:id="395"/>
      <w:r>
        <w:rPr>
          <w:rFonts w:ascii="Times New Roman;Times;Serif" w:hAnsi="Times New Roman;Times;Serif"/>
          <w:b w:val="false"/>
          <w:i/>
          <w:caps w:val="false"/>
          <w:smallCaps w:val="false"/>
          <w:sz w:val="20"/>
        </w:rPr>
        <w:t>Income Tax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Company’s tax liabilities involves dealing with uncertainties in the application of complex tax regulations. The Company recognizes liabilities for uncertain tax positions based on the two-step process prescribed by applicable accounting principles.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likely than not being realized upon ultimate settlement. It is inherently difficult and subjective to estimate such amounts, as this requires the Company to determine the probability of various possible outcomes. The Company reevaluates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 The Company recognizes interest and penalties as incurred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w:t>
      </w:r>
      <w:bookmarkStart w:id="396" w:name="xdx_90C_eus-gaap--AccruedLiabilitiesCurr"/>
      <w:bookmarkStart w:id="397" w:name="xdx_90E_eus-gaap--AccruedLiabilitiesCurr"/>
      <w:bookmarkEnd w:id="396"/>
      <w:bookmarkEnd w:id="397"/>
      <w:r>
        <w:rPr>
          <w:rFonts w:ascii="Times New Roman;Times;Serif" w:hAnsi="Times New Roman;Times;Serif"/>
          <w:b w:val="false"/>
          <w:i w:val="false"/>
          <w:caps w:val="false"/>
          <w:smallCaps w:val="false"/>
          <w:sz w:val="20"/>
        </w:rPr>
        <w:t>no liabilities were accrued on the consolidated balance sheets related to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ending December 31, 2025 and 2024, the Company had </w:t>
      </w:r>
      <w:bookmarkStart w:id="398" w:name="xdx_90D_eus-gaap--UnrecognizedTaxBenefit"/>
      <w:bookmarkStart w:id="399" w:name="xdx_908_eus-gaap--UnrecognizedTaxBenefit"/>
      <w:bookmarkEnd w:id="398"/>
      <w:bookmarkEnd w:id="399"/>
      <w:r>
        <w:rPr>
          <w:rFonts w:ascii="Times New Roman;Times;Serif" w:hAnsi="Times New Roman;Times;Serif"/>
          <w:b w:val="false"/>
          <w:i w:val="false"/>
          <w:caps w:val="false"/>
          <w:smallCaps w:val="false"/>
          <w:sz w:val="20"/>
        </w:rPr>
        <w:t>no changes in unrecognized tax benefits or associated interest and penalties as a result of tax positions made during the current or prior periods with respect to its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United States federal jurisdiction, various state jurisdictions, and Canada. The Company is no longer subject to U.S. federal income tax examinations for tax years ended on or before December 31, 2021. State income tax returns are generally subject to examination for periods ranging from three to five years, depending on the jurisdiction. Canadian income tax returns are generally subject to examination for three years following the date of assessment. As of December 31, 2025, the Company is not currently under examination by any U.S. federal, state, or foreign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00" w:name="xdx_840_eus-gaap--ForeignCurrencyTransac"/>
      <w:bookmarkEnd w:id="400"/>
      <w:r>
        <w:rPr>
          <w:rFonts w:ascii="Times New Roman;Times;Serif" w:hAnsi="Times New Roman;Times;Serif"/>
          <w:b w:val="false"/>
          <w:i/>
          <w:caps w:val="false"/>
          <w:smallCaps w:val="false"/>
          <w:sz w:val="20"/>
        </w:rPr>
        <w:t>Foreign Currency Translations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translates the financial statements of foreign subsidiaries whose functional currency is the local currency into U.S. dollars in accordance with ASC 830, </w:t>
      </w:r>
      <w:r>
        <w:rPr>
          <w:rFonts w:ascii="Times New Roman;Times;Serif" w:hAnsi="Times New Roman;Times;Serif"/>
          <w:b w:val="false"/>
          <w:i/>
          <w:caps w:val="false"/>
          <w:smallCaps w:val="false"/>
          <w:sz w:val="20"/>
        </w:rPr>
        <w:t>Foreign Currency Matters</w:t>
      </w:r>
      <w:r>
        <w:rPr>
          <w:rFonts w:ascii="Times New Roman;Times;Serif" w:hAnsi="Times New Roman;Times;Serif"/>
          <w:b w:val="false"/>
          <w:i w:val="false"/>
          <w:caps w:val="false"/>
          <w:smallCaps w:val="false"/>
          <w:sz w:val="20"/>
        </w:rPr>
        <w:t>. The Company’s functional currency is the U.S. dollar. Assets and liabilities are translated at exchange rates in effect at the balance sheet date, while revenues and expenses are translated at average exchange rates for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adjustments resulting from the conversion of foreign currency financial statements are recorded in “Accumulated Other Comprehensive Income”, a separate component of stockholders’ equity (deficit).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denominated in a currency other than the functional currency are remeasured at the exchange rate in effect on the transaction date. Monetary assets and liabilities are remeasured at period-end exchange rates, and resulting gains or losses are recognized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transactions are settled in U.S. dollars. The Company does not currently engage in foreign currency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01" w:name="xdx_849_ecustom--ConcentrationOfAssetsPo"/>
      <w:bookmarkEnd w:id="401"/>
      <w:r>
        <w:rPr>
          <w:rFonts w:ascii="Times New Roman;Times;Serif" w:hAnsi="Times New Roman;Times;Serif"/>
          <w:b w:val="false"/>
          <w:i/>
          <w:caps w:val="false"/>
          <w:smallCaps w:val="false"/>
          <w:sz w:val="20"/>
        </w:rPr>
        <w:t>Concentration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consolidated assets totaled approximately $</w:t>
      </w:r>
      <w:bookmarkStart w:id="402" w:name="xdx_902_eus-gaap--Assets_iI_pn5n6_c20251"/>
      <w:bookmarkEnd w:id="402"/>
      <w:r>
        <w:rPr>
          <w:rFonts w:ascii="Times New Roman;Times;Serif" w:hAnsi="Times New Roman;Times;Serif"/>
          <w:b w:val="false"/>
          <w:i w:val="false"/>
          <w:caps w:val="false"/>
          <w:smallCaps w:val="false"/>
          <w:sz w:val="20"/>
        </w:rPr>
        <w:t xml:space="preserve">187.5 million, of which approximately </w:t>
      </w:r>
      <w:bookmarkStart w:id="403" w:name="xdx_907_ecustom--ConsolidatedAssetPercen"/>
      <w:bookmarkEnd w:id="403"/>
      <w:r>
        <w:rPr>
          <w:rFonts w:ascii="Times New Roman;Times;Serif" w:hAnsi="Times New Roman;Times;Serif"/>
          <w:b w:val="false"/>
          <w:i w:val="false"/>
          <w:caps w:val="false"/>
          <w:smallCaps w:val="false"/>
          <w:sz w:val="20"/>
        </w:rPr>
        <w:t>38.18% ($</w:t>
      </w:r>
      <w:bookmarkStart w:id="404" w:name="xdx_904_eus-gaap--Assets_iI_pn5n6_c20251"/>
      <w:bookmarkEnd w:id="404"/>
      <w:r>
        <w:rPr>
          <w:rFonts w:ascii="Times New Roman;Times;Serif" w:hAnsi="Times New Roman;Times;Serif"/>
          <w:b w:val="false"/>
          <w:i w:val="false"/>
          <w:caps w:val="false"/>
          <w:smallCaps w:val="false"/>
          <w:sz w:val="20"/>
        </w:rPr>
        <w:t xml:space="preserve">71.6 million) were located in the United States and </w:t>
      </w:r>
      <w:bookmarkStart w:id="405" w:name="xdx_902_ecustom--ConsolidatedAssetPercen"/>
      <w:bookmarkEnd w:id="405"/>
      <w:r>
        <w:rPr>
          <w:rFonts w:ascii="Times New Roman;Times;Serif" w:hAnsi="Times New Roman;Times;Serif"/>
          <w:b w:val="false"/>
          <w:i w:val="false"/>
          <w:caps w:val="false"/>
          <w:smallCaps w:val="false"/>
          <w:sz w:val="20"/>
        </w:rPr>
        <w:t>61.82% ($</w:t>
      </w:r>
      <w:bookmarkStart w:id="406" w:name="xdx_900_eus-gaap--Assets_iI_pn5n6_c20251"/>
      <w:bookmarkEnd w:id="406"/>
      <w:r>
        <w:rPr>
          <w:rFonts w:ascii="Times New Roman;Times;Serif" w:hAnsi="Times New Roman;Times;Serif"/>
          <w:b w:val="false"/>
          <w:i w:val="false"/>
          <w:caps w:val="false"/>
          <w:smallCaps w:val="false"/>
          <w:sz w:val="20"/>
        </w:rPr>
        <w:t>115.9 million) were located in Canada. The Canadian assets are held through ExchangeCo, a wholly owned subsidiary of the Company, and relate to the Company’s Streamex Exchange business. These assets consist primarily of goodwill and intangible assets ($</w:t>
      </w:r>
      <w:bookmarkStart w:id="407" w:name="xdx_902_eus-gaap--IntangibleAssetsNetInc"/>
      <w:bookmarkEnd w:id="407"/>
      <w:r>
        <w:rPr>
          <w:rFonts w:ascii="Times New Roman;Times;Serif" w:hAnsi="Times New Roman;Times;Serif"/>
          <w:b w:val="false"/>
          <w:i w:val="false"/>
          <w:caps w:val="false"/>
          <w:smallCaps w:val="false"/>
          <w:sz w:val="20"/>
        </w:rPr>
        <w:t>115.4 million), cash ($</w:t>
      </w:r>
      <w:bookmarkStart w:id="408" w:name="xdx_90C_eus-gaap--CashEquivalentsAtCarry"/>
      <w:bookmarkEnd w:id="408"/>
      <w:r>
        <w:rPr>
          <w:rFonts w:ascii="Times New Roman;Times;Serif" w:hAnsi="Times New Roman;Times;Serif"/>
          <w:b w:val="false"/>
          <w:i w:val="false"/>
          <w:caps w:val="false"/>
          <w:smallCaps w:val="false"/>
          <w:sz w:val="20"/>
        </w:rPr>
        <w:t>343 thousand), sales tax receivable ($</w:t>
      </w:r>
      <w:bookmarkStart w:id="409" w:name="xdx_906_ecustom--SalesTaxReceivable_iI_p"/>
      <w:bookmarkEnd w:id="409"/>
      <w:r>
        <w:rPr>
          <w:rFonts w:ascii="Times New Roman;Times;Serif" w:hAnsi="Times New Roman;Times;Serif"/>
          <w:b w:val="false"/>
          <w:i w:val="false"/>
          <w:caps w:val="false"/>
          <w:smallCaps w:val="false"/>
          <w:sz w:val="20"/>
        </w:rPr>
        <w:t>51 thousand), amounts due from a related party ($</w:t>
      </w:r>
      <w:bookmarkStart w:id="410" w:name="xdx_909_eus-gaap--OtherReceivables_iI_pn"/>
      <w:bookmarkEnd w:id="410"/>
      <w:r>
        <w:rPr>
          <w:rFonts w:ascii="Times New Roman;Times;Serif" w:hAnsi="Times New Roman;Times;Serif"/>
          <w:b w:val="false"/>
          <w:i w:val="false"/>
          <w:caps w:val="false"/>
          <w:smallCaps w:val="false"/>
          <w:sz w:val="20"/>
        </w:rPr>
        <w:t>11 thousand), and prepaid expenses and other assets ($</w:t>
      </w:r>
      <w:bookmarkStart w:id="411" w:name="xdx_903_eus-gaap--LongTermInvestments_iI"/>
      <w:bookmarkEnd w:id="411"/>
      <w:r>
        <w:rPr>
          <w:rFonts w:ascii="Times New Roman;Times;Serif" w:hAnsi="Times New Roman;Times;Serif"/>
          <w:b w:val="false"/>
          <w:i w:val="false"/>
          <w:caps w:val="false"/>
          <w:smallCaps w:val="false"/>
          <w:sz w:val="20"/>
        </w:rPr>
        <w:t>165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geographic concentrations in accordance with ASC 275, </w:t>
      </w:r>
      <w:r>
        <w:rPr>
          <w:rFonts w:ascii="Times New Roman;Times;Serif" w:hAnsi="Times New Roman;Times;Serif"/>
          <w:b w:val="false"/>
          <w:i/>
          <w:caps w:val="false"/>
          <w:smallCaps w:val="false"/>
          <w:sz w:val="20"/>
        </w:rPr>
        <w:t>Risks and Uncertainties</w:t>
      </w:r>
      <w:r>
        <w:rPr>
          <w:rFonts w:ascii="Times New Roman;Times;Serif" w:hAnsi="Times New Roman;Times;Serif"/>
          <w:b w:val="false"/>
          <w:i w:val="false"/>
          <w:caps w:val="false"/>
          <w:smallCaps w:val="false"/>
          <w:sz w:val="20"/>
        </w:rPr>
        <w:t>, and considers potential exposure to economic, regulatory, and currency-related risks. While the Canadian-based assets represent a significant portion of consolidated assets, they are not currently subject to material operational, legal, or foreign exchange restrictions. Management believes that the Company is not exposed to heightened risk from geographic concentration, given the nature of the assets, the stability of the Canadian jurisdiction, and the strategic alignment of the Streamex Exchange business with the Company’s broader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12" w:name="xdx_848_eus-gaap--ComprehensiveIncomePol"/>
      <w:bookmarkEnd w:id="412"/>
      <w:r>
        <w:rPr>
          <w:rFonts w:ascii="Times New Roman;Times;Serif" w:hAnsi="Times New Roman;Times;Serif"/>
          <w:b w:val="false"/>
          <w:i/>
          <w:caps w:val="false"/>
          <w:smallCaps w:val="false"/>
          <w:sz w:val="20"/>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is comprised of the Company’s consolidated net loss and other comprehensive income (loss). The component of other comprehensive income (loss) consists solely of foreign currency translation adjustments, net of income tax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13" w:name="xdx_848_eus-gaap--EarningsPerSharePolicy"/>
      <w:bookmarkEnd w:id="413"/>
      <w:r>
        <w:rPr>
          <w:rFonts w:ascii="Times New Roman;Times;Serif" w:hAnsi="Times New Roman;Times;Serif"/>
          <w:b w:val="false"/>
          <w:i/>
          <w:caps w:val="false"/>
          <w:smallCaps w:val="false"/>
          <w:sz w:val="20"/>
        </w:rPr>
        <w:t>Net Income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in accordance with Accounting Standards Codification subtopic 260, Earnings Per Share (“ASC 260”). Basic earnings (loss) per common share is computed by dividing net income (loss) attributable to the Company’s common stockholders by the weighted-average number of shares of common stock outstanding during the period, including exchangeable shares that are economically equivalent to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exchangeable shares issued by a consolidated subsidiary that are economically equivalent to the Company’s common stock in all material respects, including rights to dividends and participation in earnings, and are exchangeable on a one-for-one basis into shares of the Company’s common stock at the option of the holders. The exchangeable shares are classified within stockholders’ equity and are included in the weighted-average shares outstanding used in the calculation of basic earnings (loss) per common share because these shares participate equally with the Company’s common stock in undistributed 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 is computed by giving effect to all potentially dilutive securities and other contracts to issue common stock using the treasury stock method and the if-converted method, as applicable, in accordance with ASC 260. Potentially dilutive securities may include stock options, warrants, restricted stock units, and other equity awards (treasury stock method), as well as the Company’s convertible preferred stock and convertible debt, including the secured convertible debentures (if-converted method). Under the if-converted method, convertible instruments are assumed to have been converted at the beginning of the period (or at issuance, if later), and related preferred dividends and/or interest expense (net of tax), as applicable, are adjusted in the determination of net income available to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basic and diluted loss per share are the same, as the inclusion of stock options, warrants, restricted stock units, convertible preferred stock, convertible debt and other potentially dilutive securities would be antidilutive. Accordingly, such securities are excluded from the computation of diluted loss per share.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4" w:name="xdx_891_eus-gaap--ScheduleOfAntidilutive"/>
      <w:bookmarkEnd w:id="414"/>
      <w:r>
        <w:rPr>
          <w:rFonts w:ascii="Times New Roman;Times;Serif" w:hAnsi="Times New Roman;Times;Serif"/>
          <w:b w:val="false"/>
          <w:i w:val="false"/>
          <w:caps w:val="false"/>
          <w:smallCaps w:val="false"/>
          <w:sz w:val="20"/>
        </w:rPr>
        <w:t>Potentially dilutive securities excluded from the computation of basic and diluted net income (loss) per share are as follows:</w:t>
      </w:r>
    </w:p>
    <w:p>
      <w:pPr>
        <w:pStyle w:val="TextBody"/>
        <w:bidi w:val="0"/>
        <w:spacing w:before="0" w:after="0"/>
        <w:ind w:left="0" w:right="0" w:hanging="0"/>
        <w:jc w:val="both"/>
        <w:rPr>
          <w:caps w:val="false"/>
          <w:smallCaps w:val="false"/>
        </w:rPr>
      </w:pPr>
      <w:r>
        <w:rPr>
          <w:caps w:val="false"/>
          <w:smallCaps w:val="false"/>
        </w:rPr>
        <w:t> </w:t>
      </w:r>
      <w:bookmarkStart w:id="415" w:name="xdx_8B3_znDbpIqfFaWf"/>
      <w:bookmarkEnd w:id="415"/>
      <w:r>
        <w:rPr>
          <w:rFonts w:ascii="Times New Roman;Times;Serif" w:hAnsi="Times New Roman;Times;Serif"/>
          <w:b w:val="false"/>
          <w:i w:val="false"/>
          <w:caps w:val="false"/>
          <w:smallCaps w:val="false"/>
          <w:sz w:val="20"/>
        </w:rPr>
        <w:t>SCHEDULE OF ANTI-DILUTIVE SECURITIES EXCLUDED FROM COMPUTATION OF EARNINGS PER SHARE</w:t>
      </w:r>
    </w:p>
    <w:tbl>
      <w:tblPr>
        <w:tblW w:w="7650" w:type="dxa"/>
        <w:jc w:val="left"/>
        <w:tblInd w:w="0" w:type="dxa"/>
        <w:tblLayout w:type="fixed"/>
        <w:tblCellMar>
          <w:top w:w="0" w:type="dxa"/>
          <w:left w:w="0" w:type="dxa"/>
          <w:bottom w:w="0" w:type="dxa"/>
          <w:right w:w="0" w:type="dxa"/>
        </w:tblCellMar>
      </w:tblPr>
      <w:tblGrid>
        <w:gridCol w:w="5195"/>
        <w:gridCol w:w="60"/>
        <w:gridCol w:w="60"/>
        <w:gridCol w:w="1100"/>
        <w:gridCol w:w="60"/>
        <w:gridCol w:w="60"/>
        <w:gridCol w:w="60"/>
        <w:gridCol w:w="98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6" w:name="xdx_498_20250101__20251231_zaB64ksyqDWl"/>
            <w:bookmarkEnd w:id="41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7" w:name="xdx_497_20240101__20241231_zkzaJaQtYfgd"/>
            <w:bookmarkEnd w:id="417"/>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18" w:name="xdx_402_eus-gaap--AntidilutiveSecurities"/>
            <w:bookmarkEnd w:id="418"/>
          </w:p>
        </w:tc>
      </w:tr>
      <w:tr>
        <w:trPr/>
        <w:tc>
          <w:tcPr>
            <w:tcW w:w="5195" w:type="dxa"/>
            <w:tcBorders/>
            <w:shd w:fill="CCEEFF" w:val="clear"/>
            <w:vAlign w:val="center"/>
          </w:tcPr>
          <w:p>
            <w:pPr>
              <w:pStyle w:val="TableContents"/>
              <w:bidi w:val="0"/>
              <w:spacing w:before="0" w:after="283"/>
              <w:jc w:val="left"/>
              <w:rPr/>
            </w:pPr>
            <w:r>
              <w:rPr/>
              <w:t>Series C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413,781</w:t>
            </w:r>
          </w:p>
        </w:tc>
        <w:tc>
          <w:tcPr>
            <w:tcW w:w="75" w:type="dxa"/>
            <w:tcBorders/>
            <w:shd w:fill="CCEEFF" w:val="clear"/>
            <w:vAlign w:val="center"/>
          </w:tcPr>
          <w:p>
            <w:pPr>
              <w:pStyle w:val="TableContents"/>
              <w:bidi w:val="0"/>
              <w:spacing w:before="0" w:after="283"/>
              <w:jc w:val="left"/>
              <w:rPr/>
            </w:pPr>
            <w:r>
              <w:rPr/>
              <w:t> </w:t>
            </w:r>
            <w:bookmarkStart w:id="419" w:name="xdx_407_eus-gaap--AntidilutiveSecurities"/>
            <w:bookmarkEnd w:id="419"/>
          </w:p>
        </w:tc>
      </w:tr>
      <w:tr>
        <w:trPr/>
        <w:tc>
          <w:tcPr>
            <w:tcW w:w="5195" w:type="dxa"/>
            <w:tcBorders/>
            <w:shd w:fill="FFFFFF" w:val="clear"/>
            <w:vAlign w:val="center"/>
          </w:tcPr>
          <w:p>
            <w:pPr>
              <w:pStyle w:val="TableContents"/>
              <w:bidi w:val="0"/>
              <w:spacing w:before="0" w:after="283"/>
              <w:jc w:val="left"/>
              <w:rPr/>
            </w:pPr>
            <w:r>
              <w:rPr/>
              <w:t>Options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2,515,200</w:t>
            </w:r>
          </w:p>
        </w:tc>
        <w:tc>
          <w:tcPr>
            <w:tcW w:w="75" w:type="dxa"/>
            <w:tcBorders/>
            <w:shd w:fill="FFFFFF" w:val="clear"/>
            <w:vAlign w:val="center"/>
          </w:tcPr>
          <w:p>
            <w:pPr>
              <w:pStyle w:val="TableContents"/>
              <w:bidi w:val="0"/>
              <w:spacing w:before="0" w:after="283"/>
              <w:jc w:val="left"/>
              <w:rPr/>
            </w:pPr>
            <w:r>
              <w:rPr/>
              <w:t> </w:t>
            </w:r>
            <w:bookmarkStart w:id="420" w:name="xdx_40F_eus-gaap--AntidilutiveSecurities"/>
            <w:bookmarkEnd w:id="420"/>
          </w:p>
        </w:tc>
      </w:tr>
      <w:tr>
        <w:trPr/>
        <w:tc>
          <w:tcPr>
            <w:tcW w:w="5195" w:type="dxa"/>
            <w:tcBorders/>
            <w:shd w:fill="CCEEFF" w:val="clear"/>
            <w:vAlign w:val="center"/>
          </w:tcPr>
          <w:p>
            <w:pPr>
              <w:pStyle w:val="TableContents"/>
              <w:bidi w:val="0"/>
              <w:spacing w:before="0" w:after="283"/>
              <w:jc w:val="left"/>
              <w:rPr/>
            </w:pPr>
            <w:r>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1,735,869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4,899,716</w:t>
            </w:r>
          </w:p>
        </w:tc>
        <w:tc>
          <w:tcPr>
            <w:tcW w:w="75" w:type="dxa"/>
            <w:tcBorders/>
            <w:shd w:fill="CCEEFF" w:val="clear"/>
            <w:vAlign w:val="center"/>
          </w:tcPr>
          <w:p>
            <w:pPr>
              <w:pStyle w:val="TableContents"/>
              <w:bidi w:val="0"/>
              <w:spacing w:before="0" w:after="283"/>
              <w:jc w:val="left"/>
              <w:rPr/>
            </w:pPr>
            <w:r>
              <w:rPr/>
              <w:t> </w:t>
            </w:r>
            <w:bookmarkStart w:id="421" w:name="xdx_401_eus-gaap--AntidilutiveSecurities"/>
            <w:bookmarkEnd w:id="421"/>
          </w:p>
        </w:tc>
      </w:tr>
      <w:tr>
        <w:trPr/>
        <w:tc>
          <w:tcPr>
            <w:tcW w:w="5195" w:type="dxa"/>
            <w:tcBorders/>
            <w:shd w:fill="FFFFFF" w:val="clear"/>
            <w:vAlign w:val="center"/>
          </w:tcPr>
          <w:p>
            <w:pPr>
              <w:pStyle w:val="TableContents"/>
              <w:bidi w:val="0"/>
              <w:spacing w:before="0" w:after="283"/>
              <w:jc w:val="left"/>
              <w:rPr/>
            </w:pPr>
            <w:r>
              <w:rPr/>
              <w:t>Convertible debentures convertible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22" w:name="xdx_40C_eus-gaap--AntidilutiveSecurities"/>
            <w:bookmarkEnd w:id="422"/>
          </w:p>
        </w:tc>
      </w:tr>
      <w:tr>
        <w:trPr/>
        <w:tc>
          <w:tcPr>
            <w:tcW w:w="5195" w:type="dxa"/>
            <w:tcBorders/>
            <w:shd w:fill="CCEEFF" w:val="clear"/>
            <w:vAlign w:val="center"/>
          </w:tcPr>
          <w:p>
            <w:pPr>
              <w:pStyle w:val="TableContents"/>
              <w:bidi w:val="0"/>
              <w:spacing w:before="0" w:after="283"/>
              <w:jc w:val="left"/>
              <w:rPr/>
            </w:pPr>
            <w:r>
              <w:rPr/>
              <w:t>Restricted stock units to acquire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1,385,839</w:t>
            </w:r>
          </w:p>
        </w:tc>
        <w:tc>
          <w:tcPr>
            <w:tcW w:w="75" w:type="dxa"/>
            <w:tcBorders/>
            <w:shd w:fill="CCEEFF" w:val="clear"/>
            <w:vAlign w:val="center"/>
          </w:tcPr>
          <w:p>
            <w:pPr>
              <w:pStyle w:val="TableContents"/>
              <w:bidi w:val="0"/>
              <w:spacing w:before="0" w:after="283"/>
              <w:jc w:val="left"/>
              <w:rPr/>
            </w:pPr>
            <w:r>
              <w:rPr/>
              <w:t> </w:t>
            </w:r>
            <w:bookmarkStart w:id="423" w:name="xdx_40E_eus-gaap--AntidilutiveSecurities"/>
            <w:bookmarkEnd w:id="423"/>
          </w:p>
        </w:tc>
      </w:tr>
      <w:tr>
        <w:trPr/>
        <w:tc>
          <w:tcPr>
            <w:tcW w:w="5195" w:type="dxa"/>
            <w:tcBorders/>
            <w:shd w:fill="FFFFFF" w:val="clear"/>
            <w:vAlign w:val="center"/>
          </w:tcPr>
          <w:p>
            <w:pPr>
              <w:pStyle w:val="TableContents"/>
              <w:bidi w:val="0"/>
              <w:spacing w:before="0" w:after="283"/>
              <w:jc w:val="left"/>
              <w:rPr/>
            </w:pPr>
            <w:r>
              <w:rPr/>
              <w:t>Totals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19,380,279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9,214,536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1_zpNjdVJOMPBe"/>
      <w:bookmarkEnd w:id="42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25" w:name="xdx_849_ecustom--RecentlyAdoptedAccounti"/>
      <w:bookmarkEnd w:id="425"/>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requires disaggregated information about a reporting entity’s effective tax rate reconciliation, as well as information related to income taxes paid to enhance the transparency and decision usefulness of income tax disclosures. The Company adopted ASU 2023-09 for the current year and has elected to apply the standard on a prospective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26" w:name="xdx_84C_eus-gaap--NewAccountingPronounce"/>
      <w:bookmarkEnd w:id="426"/>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(“ASU 2024-03”). ASU 2024-03 requires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and disclosures about selling expenses. ASU 2024-03 will be effective for annual reporting periods beginning after December 15, 2026, and interim reporting periods within annual reporting periods beginning after December 15, 2027. The Company is currently evaluating ASU 2024-03 and does not expect it to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Determining the Accounting Acquirer in the Acquisition of a Variable Interest Entity (“VIE”), which provides clarifying guidance on determining the 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amendments and the impact on its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The Company is currently evaluating the impact of adopting ASU 2025-05.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The Company is currently evaluating the impact of adopting ASU 2025-06.</w:t>
      </w:r>
    </w:p>
    <w:p>
      <w:pPr>
        <w:pStyle w:val="TextBody"/>
        <w:bidi w:val="0"/>
        <w:spacing w:before="0" w:after="0"/>
        <w:ind w:left="0" w:right="0" w:hanging="0"/>
        <w:jc w:val="both"/>
        <w:rPr>
          <w:caps w:val="false"/>
          <w:smallCaps w:val="false"/>
        </w:rPr>
      </w:pPr>
      <w:bookmarkStart w:id="427" w:name="xdx_852_zW7rzl0uQO9f"/>
      <w:bookmarkEnd w:id="4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8" w:name="xdx_802_eus-gaap--PropertyPlantAndEquipm"/>
      <w:bookmarkEnd w:id="428"/>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 </w:t>
      </w:r>
      <w:bookmarkStart w:id="429" w:name="xdx_820_zIh0jwyxECVk"/>
      <w:bookmarkEnd w:id="429"/>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30" w:name="xdx_897_eus-gaap--PropertyPlantAndEquipm"/>
      <w:bookmarkEnd w:id="430"/>
      <w:r>
        <w:rPr>
          <w:rFonts w:ascii="Times New Roman;Times;Serif" w:hAnsi="Times New Roman;Times;Serif"/>
          <w:b w:val="false"/>
          <w:i w:val="false"/>
          <w:caps w:val="false"/>
          <w:smallCaps w:val="false"/>
          <w:sz w:val="20"/>
        </w:rPr>
        <w:t>Property and equipment as of December 31, 2025 and 2024 is summarized as follows:</w:t>
      </w:r>
    </w:p>
    <w:p>
      <w:pPr>
        <w:pStyle w:val="TextBody"/>
        <w:bidi w:val="0"/>
        <w:spacing w:before="0" w:after="0"/>
        <w:ind w:left="0" w:right="0" w:hanging="0"/>
        <w:jc w:val="left"/>
        <w:rPr>
          <w:caps w:val="false"/>
          <w:smallCaps w:val="false"/>
        </w:rPr>
      </w:pPr>
      <w:r>
        <w:rPr>
          <w:caps w:val="false"/>
          <w:smallCaps w:val="false"/>
        </w:rPr>
        <w:t> </w:t>
      </w:r>
      <w:bookmarkStart w:id="431" w:name="xdx_8B7_zsz3Ot0JEMVj"/>
      <w:bookmarkEnd w:id="431"/>
      <w:r>
        <w:rPr>
          <w:rFonts w:ascii="Times New Roman;Times;Serif" w:hAnsi="Times New Roman;Times;Serif"/>
          <w:b w:val="false"/>
          <w:i w:val="false"/>
          <w:caps w:val="false"/>
          <w:smallCaps w:val="false"/>
          <w:sz w:val="20"/>
        </w:rPr>
        <w:t>SCHEDULE OF PROPERTY AND EQUIPMENT</w:t>
      </w:r>
    </w:p>
    <w:tbl>
      <w:tblPr>
        <w:tblW w:w="6084" w:type="dxa"/>
        <w:jc w:val="left"/>
        <w:tblInd w:w="0" w:type="dxa"/>
        <w:tblLayout w:type="fixed"/>
        <w:tblCellMar>
          <w:top w:w="0" w:type="dxa"/>
          <w:left w:w="0" w:type="dxa"/>
          <w:bottom w:w="0" w:type="dxa"/>
          <w:right w:w="0" w:type="dxa"/>
        </w:tblCellMar>
      </w:tblPr>
      <w:tblGrid>
        <w:gridCol w:w="2930"/>
        <w:gridCol w:w="60"/>
        <w:gridCol w:w="254"/>
        <w:gridCol w:w="1160"/>
        <w:gridCol w:w="95"/>
        <w:gridCol w:w="60"/>
        <w:gridCol w:w="283"/>
        <w:gridCol w:w="1132"/>
        <w:gridCol w:w="110"/>
      </w:tblGrid>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32" w:name="xdx_495_20251231_zNeWM3BQwqxe"/>
            <w:bookmarkEnd w:id="432"/>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3" w:name="xdx_498_20241231_zFDSMFaVsQGh"/>
            <w:bookmarkEnd w:id="433"/>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(000’s)</w:t>
            </w:r>
          </w:p>
        </w:tc>
        <w:tc>
          <w:tcPr>
            <w:tcW w:w="110" w:type="dxa"/>
            <w:tcBorders/>
            <w:vAlign w:val="center"/>
          </w:tcPr>
          <w:p>
            <w:pPr>
              <w:pStyle w:val="TableContents"/>
              <w:bidi w:val="0"/>
              <w:spacing w:before="0" w:after="283"/>
              <w:jc w:val="left"/>
              <w:rPr/>
            </w:pPr>
            <w:r>
              <w:rPr/>
              <w:t> </w:t>
            </w:r>
            <w:bookmarkStart w:id="434" w:name="xdx_400_eus-gaap--PropertyPlantAndEquipm"/>
            <w:bookmarkEnd w:id="434"/>
          </w:p>
        </w:tc>
      </w:tr>
      <w:tr>
        <w:trPr/>
        <w:tc>
          <w:tcPr>
            <w:tcW w:w="293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531</w:t>
            </w:r>
          </w:p>
        </w:tc>
        <w:tc>
          <w:tcPr>
            <w:tcW w:w="110" w:type="dxa"/>
            <w:tcBorders/>
            <w:shd w:fill="CCEEFF" w:val="clear"/>
            <w:vAlign w:val="center"/>
          </w:tcPr>
          <w:p>
            <w:pPr>
              <w:pStyle w:val="TableContents"/>
              <w:bidi w:val="0"/>
              <w:spacing w:before="0" w:after="283"/>
              <w:jc w:val="left"/>
              <w:rPr/>
            </w:pPr>
            <w:r>
              <w:rPr/>
              <w:t> </w:t>
            </w:r>
            <w:bookmarkStart w:id="435" w:name="xdx_408_eus-gaap--PropertyPlantAndEquipm"/>
            <w:bookmarkEnd w:id="435"/>
          </w:p>
        </w:tc>
      </w:tr>
      <w:tr>
        <w:trPr/>
        <w:tc>
          <w:tcPr>
            <w:tcW w:w="293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bookmarkStart w:id="436" w:name="xdx_403_eus-gaap--PropertyPlantAndEquipm"/>
            <w:bookmarkEnd w:id="436"/>
          </w:p>
        </w:tc>
      </w:tr>
      <w:tr>
        <w:trPr/>
        <w:tc>
          <w:tcPr>
            <w:tcW w:w="2930" w:type="dxa"/>
            <w:tcBorders/>
            <w:shd w:fill="CCEEFF" w:val="clear"/>
            <w:vAlign w:val="center"/>
          </w:tcPr>
          <w:p>
            <w:pPr>
              <w:pStyle w:val="TableContents"/>
              <w:bidi w:val="0"/>
              <w:spacing w:before="0" w:after="283"/>
              <w:jc w:val="left"/>
              <w:rPr/>
            </w:pPr>
            <w:r>
              <w:rPr/>
              <w:t>Testing/Demo equipment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312</w:t>
            </w:r>
          </w:p>
        </w:tc>
        <w:tc>
          <w:tcPr>
            <w:tcW w:w="110" w:type="dxa"/>
            <w:tcBorders/>
            <w:shd w:fill="CCEEFF" w:val="clear"/>
            <w:vAlign w:val="center"/>
          </w:tcPr>
          <w:p>
            <w:pPr>
              <w:pStyle w:val="TableContents"/>
              <w:bidi w:val="0"/>
              <w:spacing w:before="0" w:after="283"/>
              <w:jc w:val="left"/>
              <w:rPr/>
            </w:pPr>
            <w:r>
              <w:rPr/>
              <w:t> </w:t>
            </w:r>
            <w:bookmarkStart w:id="437" w:name="xdx_404_eus-gaap--PropertyPlantAndEquipm"/>
            <w:bookmarkEnd w:id="437"/>
          </w:p>
        </w:tc>
      </w:tr>
      <w:tr>
        <w:trPr/>
        <w:tc>
          <w:tcPr>
            <w:tcW w:w="293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bookmarkStart w:id="438" w:name="xdx_409_eus-gaap--PropertyPlantAndEquipm"/>
            <w:bookmarkEnd w:id="438"/>
          </w:p>
        </w:tc>
      </w:tr>
      <w:tr>
        <w:trPr/>
        <w:tc>
          <w:tcPr>
            <w:tcW w:w="29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1,036</w:t>
            </w:r>
          </w:p>
        </w:tc>
        <w:tc>
          <w:tcPr>
            <w:tcW w:w="110" w:type="dxa"/>
            <w:tcBorders/>
            <w:shd w:fill="CCEEFF" w:val="clear"/>
            <w:vAlign w:val="center"/>
          </w:tcPr>
          <w:p>
            <w:pPr>
              <w:pStyle w:val="TableContents"/>
              <w:bidi w:val="0"/>
              <w:spacing w:before="0" w:after="283"/>
              <w:jc w:val="left"/>
              <w:rPr/>
            </w:pPr>
            <w:r>
              <w:rPr/>
              <w:t> </w:t>
            </w:r>
            <w:bookmarkStart w:id="439" w:name="xdx_402_eus-gaap--AccumulatedDepreciatio"/>
            <w:bookmarkEnd w:id="439"/>
          </w:p>
        </w:tc>
      </w:tr>
      <w:tr>
        <w:trPr/>
        <w:tc>
          <w:tcPr>
            <w:tcW w:w="293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(1,011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(951</w:t>
            </w:r>
          </w:p>
        </w:tc>
        <w:tc>
          <w:tcPr>
            <w:tcW w:w="110" w:type="dxa"/>
            <w:tcBorders/>
            <w:shd w:fill="FFFFFF" w:val="clear"/>
            <w:vAlign w:val="center"/>
          </w:tcPr>
          <w:p>
            <w:pPr>
              <w:pStyle w:val="TableContents"/>
              <w:bidi w:val="0"/>
              <w:spacing w:before="0" w:after="283"/>
              <w:jc w:val="left"/>
              <w:rPr/>
            </w:pPr>
            <w:r>
              <w:rPr/>
              <w:t>)</w:t>
            </w:r>
            <w:bookmarkStart w:id="440" w:name="xdx_407_eus-gaap--PropertyPlantAndEquipm"/>
            <w:bookmarkEnd w:id="440"/>
          </w:p>
        </w:tc>
      </w:tr>
      <w:tr>
        <w:trPr/>
        <w:tc>
          <w:tcPr>
            <w:tcW w:w="293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1" w:name="xdx_8A7_zl0JvvNgU79d"/>
      <w:bookmarkEnd w:id="4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determined that no events or changes in circumstances existed that would indicate any impairment of its long-lived assets. Accordingly, the Company recorded </w:t>
      </w:r>
      <w:bookmarkStart w:id="442" w:name="xdx_90D_eus-gaap--AssetImpairmentCharges"/>
      <w:bookmarkEnd w:id="442"/>
      <w:r>
        <w:rPr>
          <w:rFonts w:ascii="Times New Roman;Times;Serif" w:hAnsi="Times New Roman;Times;Serif"/>
          <w:b w:val="false"/>
          <w:i w:val="false"/>
          <w:caps w:val="false"/>
          <w:smallCaps w:val="false"/>
          <w:sz w:val="20"/>
        </w:rPr>
        <w:t>no impairment charges to current operations during the year ended December 31, 2025. During the year ended December 31, 2024, the Company re-assessed it carrying amounts of certain property and equipment due to reduced manufacturing of its commercial products and determined that these carrying amounts exceeded the estimated undiscounted future cash flows. Impairment charges totaled $</w:t>
      </w:r>
      <w:bookmarkStart w:id="443" w:name="xdx_90C_eus-gaap--AssetImpairmentCharges"/>
      <w:bookmarkEnd w:id="443"/>
      <w:r>
        <w:rPr>
          <w:rFonts w:ascii="Times New Roman;Times;Serif" w:hAnsi="Times New Roman;Times;Serif"/>
          <w:b w:val="false"/>
          <w:i w:val="false"/>
          <w:caps w:val="false"/>
          <w:smallCaps w:val="false"/>
          <w:sz w:val="20"/>
        </w:rPr>
        <w:t>253 during the year ended December 31, 2024. The impairment charges are included in impairment of long term assets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were $</w:t>
      </w:r>
      <w:bookmarkStart w:id="444" w:name="xdx_908_eus-gaap--Depreciation_pn3n3_c20"/>
      <w:bookmarkEnd w:id="444"/>
      <w:r>
        <w:rPr>
          <w:rFonts w:ascii="Times New Roman;Times;Serif" w:hAnsi="Times New Roman;Times;Serif"/>
          <w:b w:val="false"/>
          <w:i w:val="false"/>
          <w:caps w:val="false"/>
          <w:smallCaps w:val="false"/>
          <w:sz w:val="20"/>
        </w:rPr>
        <w:t>60 and $</w:t>
      </w:r>
      <w:bookmarkStart w:id="445" w:name="xdx_90F_eus-gaap--Depreciation_pn3n3_c20"/>
      <w:bookmarkEnd w:id="445"/>
      <w:r>
        <w:rPr>
          <w:rFonts w:ascii="Times New Roman;Times;Serif" w:hAnsi="Times New Roman;Times;Serif"/>
          <w:b w:val="false"/>
          <w:i w:val="false"/>
          <w:caps w:val="false"/>
          <w:smallCaps w:val="false"/>
          <w:sz w:val="20"/>
        </w:rPr>
        <w:t>169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6" w:name="xdx_80F_eus-gaap--GoodwillAndIntangibleA"/>
      <w:bookmarkEnd w:id="446"/>
      <w:r>
        <w:rPr>
          <w:rFonts w:ascii="Times New Roman;Times;Serif" w:hAnsi="Times New Roman;Times;Serif"/>
          <w:b/>
          <w:i w:val="false"/>
          <w:caps w:val="false"/>
          <w:smallCaps w:val="false"/>
          <w:sz w:val="20"/>
        </w:rPr>
        <w:t>NOTE 5</w:t>
      </w:r>
      <w:r>
        <w:rPr>
          <w:rFonts w:ascii="Times New Roman;Times;Serif" w:hAnsi="Times New Roman;Times;Serif"/>
          <w:b w:val="false"/>
          <w:i w:val="false"/>
          <w:caps w:val="false"/>
          <w:smallCaps w:val="false"/>
          <w:sz w:val="20"/>
        </w:rPr>
        <w:t xml:space="preserve"> – </w:t>
      </w:r>
      <w:bookmarkStart w:id="447" w:name="xdx_82A_zdKdbvaM7PA8"/>
      <w:bookmarkEnd w:id="447"/>
      <w:r>
        <w:rPr>
          <w:rFonts w:ascii="Times New Roman;Times;Serif" w:hAnsi="Times New Roman;Times;Serif"/>
          <w:b/>
          <w:i w:val="false"/>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8" w:name="xdx_89A_eus-gaap--ScheduleOfGoodwillText"/>
      <w:bookmarkEnd w:id="448"/>
      <w:r>
        <w:rPr>
          <w:rFonts w:ascii="Times New Roman;Times;Serif" w:hAnsi="Times New Roman;Times;Serif"/>
          <w:b w:val="false"/>
          <w:i w:val="false"/>
          <w:caps w:val="false"/>
          <w:smallCaps w:val="false"/>
          <w:sz w:val="20"/>
        </w:rPr>
        <w:t>The following table shows the changes in the carrying amount of goodwill for the period:</w:t>
      </w:r>
    </w:p>
    <w:p>
      <w:pPr>
        <w:pStyle w:val="TextBody"/>
        <w:bidi w:val="0"/>
        <w:spacing w:before="0" w:after="0"/>
        <w:ind w:left="0" w:right="0" w:hanging="0"/>
        <w:jc w:val="both"/>
        <w:rPr>
          <w:caps w:val="false"/>
          <w:smallCaps w:val="false"/>
        </w:rPr>
      </w:pPr>
      <w:r>
        <w:rPr>
          <w:caps w:val="false"/>
          <w:smallCaps w:val="false"/>
        </w:rPr>
        <w:t> </w:t>
      </w:r>
      <w:bookmarkStart w:id="449" w:name="xdx_8BE_ze1xLqZcvdb6"/>
      <w:bookmarkEnd w:id="449"/>
      <w:r>
        <w:rPr>
          <w:rFonts w:ascii="Times New Roman;Times;Serif" w:hAnsi="Times New Roman;Times;Serif"/>
          <w:b w:val="false"/>
          <w:i w:val="false"/>
          <w:caps w:val="false"/>
          <w:smallCaps w:val="false"/>
          <w:sz w:val="20"/>
        </w:rPr>
        <w:t>SCHEDULE OF CARRYING AMOUNT OF GOODWILL</w:t>
      </w:r>
    </w:p>
    <w:tbl>
      <w:tblPr>
        <w:tblW w:w="4725" w:type="dxa"/>
        <w:jc w:val="left"/>
        <w:tblInd w:w="0" w:type="dxa"/>
        <w:tblLayout w:type="fixed"/>
        <w:tblCellMar>
          <w:top w:w="0" w:type="dxa"/>
          <w:left w:w="0" w:type="dxa"/>
          <w:bottom w:w="0" w:type="dxa"/>
          <w:right w:w="0" w:type="dxa"/>
        </w:tblCellMar>
      </w:tblPr>
      <w:tblGrid>
        <w:gridCol w:w="3770"/>
        <w:gridCol w:w="60"/>
        <w:gridCol w:w="140"/>
        <w:gridCol w:w="680"/>
        <w:gridCol w:w="75"/>
      </w:tblGrid>
      <w:tr>
        <w:trPr/>
        <w:tc>
          <w:tcPr>
            <w:tcW w:w="3770" w:type="dxa"/>
            <w:tcBorders/>
            <w:shd w:fill="CCEEFF" w:val="clear"/>
            <w:vAlign w:val="center"/>
          </w:tcPr>
          <w:p>
            <w:pPr>
              <w:pStyle w:val="TableContents"/>
              <w:bidi w:val="0"/>
              <w:spacing w:before="0" w:after="283"/>
              <w:jc w:val="both"/>
              <w:rPr>
                <w:b/>
              </w:rPr>
            </w:pPr>
            <w:r>
              <w:rPr>
                <w:b/>
              </w:rPr>
              <w:t>Goodwill as of December 31, 2024</w:t>
            </w:r>
          </w:p>
        </w:tc>
        <w:tc>
          <w:tcPr>
            <w:tcW w:w="60" w:type="dxa"/>
            <w:tcBorders/>
            <w:shd w:fill="CCEEFF" w:val="clear"/>
            <w:vAlign w:val="center"/>
          </w:tcPr>
          <w:p>
            <w:pPr>
              <w:pStyle w:val="TableContents"/>
              <w:bidi w:val="0"/>
              <w:spacing w:before="0" w:after="283"/>
              <w:jc w:val="left"/>
              <w:rPr/>
            </w:pPr>
            <w:r>
              <w:rPr/>
              <w:t> </w:t>
            </w:r>
            <w:bookmarkStart w:id="450" w:name="xdx_986_eus-gaap--Goodwill_iS_pn3n3_c202"/>
            <w:bookmarkEnd w:id="450"/>
          </w:p>
        </w:tc>
        <w:tc>
          <w:tcPr>
            <w:tcW w:w="820" w:type="dxa"/>
            <w:gridSpan w:val="2"/>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51" w:name="xdx_988_eus-gaap--GoodwillAcquiredDuring"/>
            <w:bookmarkEnd w:id="451"/>
          </w:p>
        </w:tc>
        <w:tc>
          <w:tcPr>
            <w:tcW w:w="680" w:type="dxa"/>
            <w:tcBorders/>
            <w:shd w:fill="FFFFFF" w:val="clear"/>
            <w:vAlign w:val="center"/>
          </w:tcPr>
          <w:p>
            <w:pPr>
              <w:pStyle w:val="TableContents"/>
              <w:bidi w:val="0"/>
              <w:spacing w:before="0" w:after="283"/>
              <w:jc w:val="right"/>
              <w:rPr/>
            </w:pPr>
            <w:r>
              <w:rPr/>
              <w:t>70,435</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Impairment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52" w:name="xdx_980_eus-gaap--GoodwillImpairmentLoss"/>
            <w:bookmarkEnd w:id="452"/>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both"/>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53" w:name="xdx_983_eus-gaap--ForeignCurrencyTransac"/>
            <w:bookmarkEnd w:id="453"/>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549</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b/>
              </w:rPr>
            </w:pPr>
            <w:r>
              <w:rPr>
                <w:b/>
              </w:rPr>
              <w:t>Goodwill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54" w:name="xdx_98D_eus-gaap--Goodwill_iE_pn3n3_c202"/>
            <w:bookmarkEnd w:id="454"/>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70,984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the acquisition of the Streamex Exchange. See Note 11 for more details. Goodwill was initially measured in the functional currency of Streamex Exchange and translated into U.S. dollars using the exchange rate in effect on the acquisition date. Subsequent changes in foreign exchange rates are reflected in the cumulative translation adjustment within other comprehensive loss.</w:t>
            </w:r>
          </w:p>
        </w:tc>
      </w:tr>
    </w:tbl>
    <w:p>
      <w:pPr>
        <w:pStyle w:val="TextBody"/>
        <w:bidi w:val="0"/>
        <w:spacing w:before="0" w:after="0"/>
        <w:ind w:left="0" w:right="0" w:hanging="0"/>
        <w:jc w:val="both"/>
        <w:rPr>
          <w:caps w:val="false"/>
          <w:smallCaps w:val="false"/>
        </w:rPr>
      </w:pPr>
      <w:bookmarkStart w:id="455" w:name="xdx_8A4_zNfOCpgz9r5k"/>
      <w:bookmarkEnd w:id="4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evaluated the existence of any indicators of impairment in accordance with ASC 350, Intangibles—Goodwill and Other. Based on the qualitative assessment performed, management concluded that the combination of factors considered did not result in a triggering event requiring a quantitative impairment test. Based on the assessment, there was </w:t>
      </w:r>
      <w:bookmarkStart w:id="456" w:name="xdx_90D_eus-gaap--GoodwillImpairmentLoss"/>
      <w:bookmarkEnd w:id="456"/>
      <w:r>
        <w:rPr>
          <w:rFonts w:ascii="Times New Roman;Times;Serif" w:hAnsi="Times New Roman;Times;Serif"/>
          <w:b w:val="false"/>
          <w:i w:val="false"/>
          <w:caps w:val="false"/>
          <w:smallCaps w:val="false"/>
          <w:sz w:val="20"/>
        </w:rPr>
        <w:t>no goodwill impairment recognized in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trade name, developed technology, legal and compliance framework, and patents, and are initially recorded at fair value. Long-lived intangible assets are amortized over their estimated useful lives in a method reflecting the pattern in which the economic benefits are consumed or amortized on a straight-line basis if such pattern cannot be reliably determined. In evaluating whether a triggering event occurred during the period, the Company performed a qualitative assessment consistent with the guidance in U.S. GAAP. This assessment considered the totality of events and circumstances and concluded that it is not more likely than not (i.e., less than a 50% likelihood) that the fair value of the reporting unit is below its carrying amount. Based on this assessment, no impairment charges were recorded for the periods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7" w:name="xdx_895_eus-gaap--ScheduleOfImpairedInta"/>
      <w:bookmarkEnd w:id="457"/>
      <w:r>
        <w:rPr>
          <w:rFonts w:ascii="Times New Roman;Times;Serif" w:hAnsi="Times New Roman;Times;Serif"/>
          <w:b w:val="false"/>
          <w:i w:val="false"/>
          <w:caps w:val="false"/>
          <w:smallCaps w:val="false"/>
          <w:sz w:val="20"/>
        </w:rPr>
        <w:t>The following summarizes the Company’s intangible assets as of December 31, 2025 and 2024:</w:t>
      </w:r>
    </w:p>
    <w:p>
      <w:pPr>
        <w:pStyle w:val="TextBody"/>
        <w:bidi w:val="0"/>
        <w:spacing w:before="0" w:after="0"/>
        <w:ind w:left="0" w:right="0" w:hanging="0"/>
        <w:jc w:val="both"/>
        <w:rPr>
          <w:caps w:val="false"/>
          <w:smallCaps w:val="false"/>
        </w:rPr>
      </w:pPr>
      <w:r>
        <w:rPr>
          <w:caps w:val="false"/>
          <w:smallCaps w:val="false"/>
        </w:rPr>
        <w:t> </w:t>
      </w:r>
      <w:bookmarkStart w:id="458" w:name="xdx_8B7_zz6sIgTC0Ks"/>
      <w:bookmarkEnd w:id="458"/>
      <w:r>
        <w:rPr>
          <w:rFonts w:ascii="Times New Roman;Times;Serif" w:hAnsi="Times New Roman;Times;Serif"/>
          <w:b w:val="false"/>
          <w:i w:val="false"/>
          <w:caps w:val="false"/>
          <w:smallCaps w:val="false"/>
          <w:sz w:val="20"/>
        </w:rPr>
        <w:t>SCHEDULE OF INTANGIBLE ASSETS</w:t>
      </w:r>
    </w:p>
    <w:tbl>
      <w:tblPr>
        <w:tblW w:w="6923" w:type="dxa"/>
        <w:jc w:val="left"/>
        <w:tblInd w:w="0" w:type="dxa"/>
        <w:tblLayout w:type="fixed"/>
        <w:tblCellMar>
          <w:top w:w="0" w:type="dxa"/>
          <w:left w:w="0" w:type="dxa"/>
          <w:bottom w:w="0" w:type="dxa"/>
          <w:right w:w="0" w:type="dxa"/>
        </w:tblCellMar>
      </w:tblPr>
      <w:tblGrid>
        <w:gridCol w:w="3770"/>
        <w:gridCol w:w="60"/>
        <w:gridCol w:w="241"/>
        <w:gridCol w:w="1173"/>
        <w:gridCol w:w="95"/>
        <w:gridCol w:w="60"/>
        <w:gridCol w:w="332"/>
        <w:gridCol w:w="1082"/>
        <w:gridCol w:w="110"/>
      </w:tblGrid>
      <w:tr>
        <w:trPr/>
        <w:tc>
          <w:tcPr>
            <w:tcW w:w="37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59" w:name="xdx_49C_20251231_zmy4j7N0BgYd"/>
            <w:bookmarkEnd w:id="459"/>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0" w:name="xdx_49F_20241231_zW1KbIDTW6Ea"/>
            <w:bookmarkEnd w:id="460"/>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461" w:name="xdx_40E_eus-gaap--FiniteLivedIntangibleA"/>
            <w:bookmarkEnd w:id="461"/>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name</w:t>
            </w:r>
            <w:bookmarkStart w:id="462" w:name="xdx_F45_zFsP4r4cMgsf"/>
            <w:bookmarkEnd w:id="462"/>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63" w:name="xdx_40A_eus-gaap--FiniteLivedIntangibleA"/>
            <w:bookmarkEnd w:id="463"/>
          </w:p>
        </w:tc>
      </w:tr>
      <w:tr>
        <w:trPr/>
        <w:tc>
          <w:tcPr>
            <w:tcW w:w="37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bookmarkStart w:id="464" w:name="xdx_F4E_zJPgIHcWqDr"/>
            <w:bookmarkEnd w:id="464"/>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5" w:name="xdx_404_eus-gaap--FiniteLivedIntangibleA"/>
            <w:bookmarkEnd w:id="465"/>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and compliance framework</w:t>
            </w:r>
            <w:bookmarkStart w:id="466" w:name="xdx_F4C_zBsinroF90eh"/>
            <w:bookmarkEnd w:id="466"/>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67" w:name="xdx_402_eus-gaap--FiniteLivedIntangibleA"/>
            <w:bookmarkEnd w:id="467"/>
          </w:p>
        </w:tc>
      </w:tr>
      <w:tr>
        <w:trPr/>
        <w:tc>
          <w:tcPr>
            <w:tcW w:w="3770" w:type="dxa"/>
            <w:tcBorders/>
            <w:shd w:fill="FFFFFF" w:val="clear"/>
            <w:vAlign w:val="center"/>
          </w:tcPr>
          <w:p>
            <w:pPr>
              <w:pStyle w:val="TableContents"/>
              <w:bidi w:val="0"/>
              <w:spacing w:before="0" w:after="283"/>
              <w:jc w:val="both"/>
              <w:rPr/>
            </w:pPr>
            <w:r>
              <w:rPr/>
              <w:t>Patents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380</w:t>
            </w:r>
          </w:p>
        </w:tc>
        <w:tc>
          <w:tcPr>
            <w:tcW w:w="110" w:type="dxa"/>
            <w:tcBorders/>
            <w:shd w:fill="FFFFFF" w:val="clear"/>
            <w:vAlign w:val="center"/>
          </w:tcPr>
          <w:p>
            <w:pPr>
              <w:pStyle w:val="TableContents"/>
              <w:bidi w:val="0"/>
              <w:spacing w:before="0" w:after="283"/>
              <w:jc w:val="left"/>
              <w:rPr/>
            </w:pPr>
            <w:r>
              <w:rPr/>
              <w:t> </w:t>
            </w:r>
            <w:bookmarkStart w:id="468" w:name="xdx_403_eus-gaap--FiniteLivedIntangibleA"/>
            <w:bookmarkEnd w:id="468"/>
          </w:p>
        </w:tc>
      </w:tr>
      <w:tr>
        <w:trPr/>
        <w:tc>
          <w:tcPr>
            <w:tcW w:w="377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47,880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 </w:t>
            </w:r>
            <w:bookmarkStart w:id="469" w:name="xdx_40B_ecustom--FiniteLivedIntangibleAs"/>
            <w:bookmarkEnd w:id="469"/>
          </w:p>
        </w:tc>
      </w:tr>
      <w:tr>
        <w:trPr/>
        <w:tc>
          <w:tcPr>
            <w:tcW w:w="3770" w:type="dxa"/>
            <w:tcBorders/>
            <w:shd w:fill="FFFFFF" w:val="clear"/>
            <w:vAlign w:val="center"/>
          </w:tcPr>
          <w:p>
            <w:pPr>
              <w:pStyle w:val="TableContents"/>
              <w:bidi w:val="0"/>
              <w:spacing w:before="0" w:after="283"/>
              <w:jc w:val="both"/>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70" w:name="xdx_406_eus-gaap--FiniteLivedIntangibleA"/>
            <w:bookmarkEnd w:id="470"/>
          </w:p>
        </w:tc>
      </w:tr>
      <w:tr>
        <w:trPr/>
        <w:tc>
          <w:tcPr>
            <w:tcW w:w="3770" w:type="dxa"/>
            <w:tcBorders/>
            <w:shd w:fill="FFFFFF" w:val="clear"/>
            <w:vAlign w:val="center"/>
          </w:tcPr>
          <w:p>
            <w:pPr>
              <w:pStyle w:val="TableContents"/>
              <w:bidi w:val="0"/>
              <w:spacing w:before="0" w:after="283"/>
              <w:jc w:val="both"/>
              <w:rPr/>
            </w:pPr>
            <w:r>
              <w:rPr/>
              <w:t>Trade name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71" w:name="xdx_409_eus-gaap--FiniteLivedIntangibleA"/>
            <w:bookmarkEnd w:id="471"/>
          </w:p>
        </w:tc>
      </w:tr>
      <w:tr>
        <w:trPr/>
        <w:tc>
          <w:tcPr>
            <w:tcW w:w="377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72" w:name="xdx_405_eus-gaap--FiniteLivedIntangibleA"/>
            <w:bookmarkEnd w:id="472"/>
          </w:p>
        </w:tc>
      </w:tr>
      <w:tr>
        <w:trPr/>
        <w:tc>
          <w:tcPr>
            <w:tcW w:w="3770" w:type="dxa"/>
            <w:tcBorders/>
            <w:shd w:fill="FFFFFF" w:val="clear"/>
            <w:vAlign w:val="center"/>
          </w:tcPr>
          <w:p>
            <w:pPr>
              <w:pStyle w:val="TableContents"/>
              <w:bidi w:val="0"/>
              <w:spacing w:before="0" w:after="283"/>
              <w:jc w:val="both"/>
              <w:rPr/>
            </w:pPr>
            <w:r>
              <w:rPr/>
              <w:t>Legal and compliance framework</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73" w:name="xdx_404_eus-gaap--FiniteLivedIntangibleA"/>
            <w:bookmarkEnd w:id="473"/>
          </w:p>
        </w:tc>
      </w:tr>
      <w:tr>
        <w:trPr/>
        <w:tc>
          <w:tcPr>
            <w:tcW w:w="3770" w:type="dxa"/>
            <w:tcBorders/>
            <w:shd w:fill="CCEEFF" w:val="clear"/>
            <w:vAlign w:val="center"/>
          </w:tcPr>
          <w:p>
            <w:pPr>
              <w:pStyle w:val="TableContents"/>
              <w:bidi w:val="0"/>
              <w:spacing w:before="0" w:after="283"/>
              <w:jc w:val="both"/>
              <w:rPr/>
            </w:pPr>
            <w:r>
              <w:rPr/>
              <w:t>Patents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w:t>
            </w:r>
            <w:bookmarkStart w:id="474" w:name="xdx_40D_eus-gaap--FiniteLivedIntangibleA"/>
            <w:bookmarkEnd w:id="474"/>
          </w:p>
        </w:tc>
      </w:tr>
      <w:tr>
        <w:trPr/>
        <w:tc>
          <w:tcPr>
            <w:tcW w:w="3770" w:type="dxa"/>
            <w:tcBorders/>
            <w:shd w:fill="FFFFFF" w:val="clear"/>
            <w:vAlign w:val="center"/>
          </w:tcPr>
          <w:p>
            <w:pPr>
              <w:pStyle w:val="TableContents"/>
              <w:bidi w:val="0"/>
              <w:spacing w:before="0" w:after="283"/>
              <w:jc w:val="both"/>
              <w:rPr/>
            </w:pPr>
            <w:r>
              <w:rPr/>
              <w:t>Total accumulated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(3,612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w:t>
            </w:r>
            <w:bookmarkStart w:id="475" w:name="xdx_402_eus-gaap--FiniteLivedIntangibleA"/>
            <w:bookmarkEnd w:id="475"/>
          </w:p>
        </w:tc>
      </w:tr>
      <w:tr>
        <w:trPr/>
        <w:tc>
          <w:tcPr>
            <w:tcW w:w="377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44,639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269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6" w:name="xdx_F0F_zBgVrnl4BNx4"/>
            <w:bookmarkEnd w:id="476"/>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7" w:name="xdx_F1D_z0kmqXV4N6A5"/>
            <w:bookmarkEnd w:id="477"/>
            <w:r>
              <w:rPr>
                <w:rFonts w:ascii="Times New Roman;Times;Serif" w:hAnsi="Times New Roman;Times;Serif"/>
                <w:b w:val="false"/>
                <w:i w:val="false"/>
                <w:caps w:val="false"/>
                <w:smallCaps w:val="false"/>
                <w:sz w:val="20"/>
              </w:rPr>
              <w:t>Intangible assets acquired in connection with the Streamex Exchange acquisition were initially measured in Canadian dollars and translated into U.S. dollars using the exchange rate in effect on the acquisition date. Subsequent changes in exchange rates are reflected in the carrying amounts presented above and recorded in other comprehensive loss as part of the cumulative translation adjustment.</w:t>
            </w:r>
          </w:p>
        </w:tc>
      </w:tr>
    </w:tbl>
    <w:p>
      <w:pPr>
        <w:pStyle w:val="TextBody"/>
        <w:bidi w:val="0"/>
        <w:spacing w:before="0" w:after="0"/>
        <w:ind w:left="0" w:right="0" w:hanging="0"/>
        <w:jc w:val="center"/>
        <w:rPr>
          <w:caps w:val="false"/>
          <w:smallCaps w:val="false"/>
        </w:rPr>
      </w:pPr>
      <w:bookmarkStart w:id="478" w:name="xdx_8A6_zTb73Q0gfuBh"/>
      <w:bookmarkEnd w:id="4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total intangible assets were approximately $</w:t>
      </w:r>
      <w:bookmarkStart w:id="479" w:name="xdx_907_eus-gaap--AmortizationOfIntangib"/>
      <w:bookmarkEnd w:id="479"/>
      <w:r>
        <w:rPr>
          <w:rFonts w:ascii="Times New Roman;Times;Serif" w:hAnsi="Times New Roman;Times;Serif"/>
          <w:b w:val="false"/>
          <w:i w:val="false"/>
          <w:caps w:val="false"/>
          <w:smallCaps w:val="false"/>
          <w:sz w:val="20"/>
        </w:rPr>
        <w:t>3.5 million and $</w:t>
      </w:r>
      <w:bookmarkStart w:id="480" w:name="xdx_90E_eus-gaap--AmortizationOfIntangib"/>
      <w:bookmarkEnd w:id="480"/>
      <w:r>
        <w:rPr>
          <w:rFonts w:ascii="Times New Roman;Times;Serif" w:hAnsi="Times New Roman;Times;Serif"/>
          <w:b w:val="false"/>
          <w:i w:val="false"/>
          <w:caps w:val="false"/>
          <w:smallCaps w:val="false"/>
          <w:sz w:val="20"/>
        </w:rPr>
        <w:t>16 for the years ended December 31, 2025 and 2024, respectively. Amortization expenses for trade name, developed technology, legal and compliance framework and patents was $</w:t>
      </w:r>
      <w:bookmarkStart w:id="481" w:name="xdx_906_eus-gaap--AmortizationOfIntangib"/>
      <w:bookmarkEnd w:id="481"/>
      <w:r>
        <w:rPr>
          <w:rFonts w:ascii="Times New Roman;Times;Serif" w:hAnsi="Times New Roman;Times;Serif"/>
          <w:b w:val="false"/>
          <w:i w:val="false"/>
          <w:caps w:val="false"/>
          <w:smallCaps w:val="false"/>
          <w:sz w:val="20"/>
        </w:rPr>
        <w:t>303, $</w:t>
      </w:r>
      <w:bookmarkStart w:id="482" w:name="xdx_90F_eus-gaap--AmortizationOfIntangib"/>
      <w:bookmarkEnd w:id="482"/>
      <w:r>
        <w:rPr>
          <w:rFonts w:ascii="Times New Roman;Times;Serif" w:hAnsi="Times New Roman;Times;Serif"/>
          <w:b w:val="false"/>
          <w:i w:val="false"/>
          <w:caps w:val="false"/>
          <w:smallCaps w:val="false"/>
          <w:sz w:val="20"/>
        </w:rPr>
        <w:t>2,975, $</w:t>
      </w:r>
      <w:bookmarkStart w:id="483" w:name="xdx_909_eus-gaap--AmortizationOfIntangib"/>
      <w:bookmarkEnd w:id="483"/>
      <w:r>
        <w:rPr>
          <w:rFonts w:ascii="Times New Roman;Times;Serif" w:hAnsi="Times New Roman;Times;Serif"/>
          <w:b w:val="false"/>
          <w:i w:val="false"/>
          <w:caps w:val="false"/>
          <w:smallCaps w:val="false"/>
          <w:sz w:val="20"/>
        </w:rPr>
        <w:t>204 and $</w:t>
      </w:r>
      <w:bookmarkStart w:id="484" w:name="xdx_906_eus-gaap--AmortizationOfIntangib"/>
      <w:bookmarkEnd w:id="484"/>
      <w:r>
        <w:rPr>
          <w:rFonts w:ascii="Times New Roman;Times;Serif" w:hAnsi="Times New Roman;Times;Serif"/>
          <w:b w:val="false"/>
          <w:i w:val="false"/>
          <w:caps w:val="false"/>
          <w:smallCaps w:val="false"/>
          <w:sz w:val="20"/>
        </w:rPr>
        <w:t>19, respectively, for the year ended December 31, 2025. Amortization expenses for trade name, developed technology, legal and compliance framework and patents was $</w:t>
      </w:r>
      <w:bookmarkStart w:id="485" w:name="xdx_90A_eus-gaap--AmortizationOfIntangib"/>
      <w:bookmarkEnd w:id="485"/>
      <w:r>
        <w:rPr>
          <w:rFonts w:ascii="Times New Roman;Times;Serif" w:hAnsi="Times New Roman;Times;Serif"/>
          <w:b w:val="false"/>
          <w:i w:val="false"/>
          <w:caps w:val="false"/>
          <w:smallCaps w:val="false"/>
          <w:sz w:val="20"/>
        </w:rPr>
        <w:t>0, $</w:t>
      </w:r>
      <w:bookmarkStart w:id="486" w:name="xdx_90A_eus-gaap--AmortizationOfIntangib"/>
      <w:bookmarkEnd w:id="486"/>
      <w:r>
        <w:rPr>
          <w:rFonts w:ascii="Times New Roman;Times;Serif" w:hAnsi="Times New Roman;Times;Serif"/>
          <w:b w:val="false"/>
          <w:i w:val="false"/>
          <w:caps w:val="false"/>
          <w:smallCaps w:val="false"/>
          <w:sz w:val="20"/>
        </w:rPr>
        <w:t>0, $</w:t>
      </w:r>
      <w:bookmarkStart w:id="487" w:name="xdx_90D_eus-gaap--AmortizationOfIntangib"/>
      <w:bookmarkEnd w:id="487"/>
      <w:r>
        <w:rPr>
          <w:rFonts w:ascii="Times New Roman;Times;Serif" w:hAnsi="Times New Roman;Times;Serif"/>
          <w:b w:val="false"/>
          <w:i w:val="false"/>
          <w:caps w:val="false"/>
          <w:smallCaps w:val="false"/>
          <w:sz w:val="20"/>
        </w:rPr>
        <w:t>0 and $</w:t>
      </w:r>
      <w:bookmarkStart w:id="488" w:name="xdx_90B_eus-gaap--AmortizationOfIntangib"/>
      <w:bookmarkEnd w:id="488"/>
      <w:r>
        <w:rPr>
          <w:rFonts w:ascii="Times New Roman;Times;Serif" w:hAnsi="Times New Roman;Times;Serif"/>
          <w:b w:val="false"/>
          <w:i w:val="false"/>
          <w:caps w:val="false"/>
          <w:smallCaps w:val="false"/>
          <w:sz w:val="20"/>
        </w:rPr>
        <w:t xml:space="preserve">19, respectively, for the year ended December 31, 2024. The weighted-average useful lives of total intangibles, trade name, developed technology, legal and compliance framework and patents were </w:t>
      </w:r>
      <w:bookmarkStart w:id="489" w:name="xdx_90B_eus-gaap--FiniteLivedIntangibleA"/>
      <w:bookmarkEnd w:id="489"/>
      <w:r>
        <w:rPr>
          <w:rFonts w:ascii="Times New Roman;Times;Serif" w:hAnsi="Times New Roman;Times;Serif"/>
          <w:b w:val="false"/>
          <w:i w:val="false"/>
          <w:caps w:val="false"/>
          <w:smallCaps w:val="false"/>
          <w:sz w:val="20"/>
        </w:rPr>
        <w:t xml:space="preserve">7.6 years, </w:t>
      </w:r>
      <w:bookmarkStart w:id="490" w:name="xdx_90E_eus-gaap--FiniteLivedIntangibleA"/>
      <w:bookmarkEnd w:id="490"/>
      <w:r>
        <w:rPr>
          <w:rFonts w:ascii="Times New Roman;Times;Serif" w:hAnsi="Times New Roman;Times;Serif"/>
          <w:b w:val="false"/>
          <w:i w:val="false"/>
          <w:caps w:val="false"/>
          <w:smallCaps w:val="false"/>
          <w:sz w:val="20"/>
        </w:rPr>
        <w:t xml:space="preserve">9.4 years, </w:t>
      </w:r>
      <w:bookmarkStart w:id="491" w:name="xdx_900_eus-gaap--FiniteLivedIntangibleA"/>
      <w:bookmarkEnd w:id="491"/>
      <w:r>
        <w:rPr>
          <w:rFonts w:ascii="Times New Roman;Times;Serif" w:hAnsi="Times New Roman;Times;Serif"/>
          <w:b w:val="false"/>
          <w:i w:val="false"/>
          <w:caps w:val="false"/>
          <w:smallCaps w:val="false"/>
          <w:sz w:val="20"/>
        </w:rPr>
        <w:t xml:space="preserve">7.4 years, </w:t>
      </w:r>
      <w:bookmarkStart w:id="492" w:name="xdx_902_eus-gaap--FiniteLivedIntangibleA"/>
      <w:bookmarkEnd w:id="492"/>
      <w:r>
        <w:rPr>
          <w:rFonts w:ascii="Times New Roman;Times;Serif" w:hAnsi="Times New Roman;Times;Serif"/>
          <w:b w:val="false"/>
          <w:i w:val="false"/>
          <w:caps w:val="false"/>
          <w:smallCaps w:val="false"/>
          <w:sz w:val="20"/>
        </w:rPr>
        <w:t xml:space="preserve">6.4 years and </w:t>
      </w:r>
      <w:bookmarkStart w:id="493" w:name="xdx_907_eus-gaap--FiniteLivedIntangibleA"/>
      <w:bookmarkEnd w:id="493"/>
      <w:r>
        <w:rPr>
          <w:rFonts w:ascii="Times New Roman;Times;Serif" w:hAnsi="Times New Roman;Times;Serif"/>
          <w:b w:val="false"/>
          <w:i w:val="false"/>
          <w:caps w:val="false"/>
          <w:smallCaps w:val="false"/>
          <w:sz w:val="20"/>
        </w:rPr>
        <w:t>13.8 years, respectively,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4" w:name="xdx_892_eus-gaap--ScheduleofFiniteLivedI"/>
      <w:bookmarkEnd w:id="494"/>
      <w:r>
        <w:rPr>
          <w:rFonts w:ascii="Times New Roman;Times;Serif" w:hAnsi="Times New Roman;Times;Serif"/>
          <w:b w:val="false"/>
          <w:i w:val="false"/>
          <w:caps w:val="false"/>
          <w:smallCaps w:val="false"/>
          <w:sz w:val="20"/>
        </w:rPr>
        <w:t>Expected future amortization expense of intangible assets as of December 31, 2025, is as follows:</w:t>
      </w:r>
    </w:p>
    <w:p>
      <w:pPr>
        <w:pStyle w:val="TextBody"/>
        <w:bidi w:val="0"/>
        <w:spacing w:before="0" w:after="0"/>
        <w:ind w:left="0" w:right="0" w:hanging="0"/>
        <w:jc w:val="both"/>
        <w:rPr>
          <w:caps w:val="false"/>
          <w:smallCaps w:val="false"/>
        </w:rPr>
      </w:pPr>
      <w:r>
        <w:rPr>
          <w:caps w:val="false"/>
          <w:smallCaps w:val="false"/>
        </w:rPr>
        <w:t> </w:t>
      </w:r>
      <w:bookmarkStart w:id="495" w:name="xdx_8B8_zLxNmDs4cPUd"/>
      <w:bookmarkEnd w:id="495"/>
      <w:r>
        <w:rPr>
          <w:rFonts w:ascii="Times New Roman;Times;Serif" w:hAnsi="Times New Roman;Times;Serif"/>
          <w:b w:val="false"/>
          <w:i w:val="false"/>
          <w:caps w:val="false"/>
          <w:smallCaps w:val="false"/>
          <w:sz w:val="20"/>
        </w:rPr>
        <w:t>SCHEDULE OF FUTURE AMORTIZATION EXPENSE OF INTANGIBLE ASSETS</w:t>
      </w:r>
    </w:p>
    <w:tbl>
      <w:tblPr>
        <w:tblW w:w="1815" w:type="dxa"/>
        <w:jc w:val="left"/>
        <w:tblInd w:w="0" w:type="dxa"/>
        <w:tblLayout w:type="fixed"/>
        <w:tblCellMar>
          <w:top w:w="0" w:type="dxa"/>
          <w:left w:w="0" w:type="dxa"/>
          <w:bottom w:w="0" w:type="dxa"/>
          <w:right w:w="0" w:type="dxa"/>
        </w:tblCellMar>
      </w:tblPr>
      <w:tblGrid>
        <w:gridCol w:w="860"/>
        <w:gridCol w:w="60"/>
        <w:gridCol w:w="140"/>
        <w:gridCol w:w="680"/>
        <w:gridCol w:w="75"/>
      </w:tblGrid>
      <w:tr>
        <w:trPr/>
        <w:tc>
          <w:tcPr>
            <w:tcW w:w="8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96" w:name="xdx_49C_20251231_zxhcTn5nfnWc"/>
            <w:bookmarkEnd w:id="496"/>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497" w:name="xdx_40D_eus-gaap--FiniteLivedIntangibleA"/>
            <w:bookmarkEnd w:id="497"/>
          </w:p>
        </w:tc>
      </w:tr>
      <w:tr>
        <w:trPr/>
        <w:tc>
          <w:tcPr>
            <w:tcW w:w="860"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5,918</w:t>
            </w:r>
          </w:p>
        </w:tc>
        <w:tc>
          <w:tcPr>
            <w:tcW w:w="75" w:type="dxa"/>
            <w:tcBorders/>
            <w:shd w:fill="CCEEFF" w:val="clear"/>
            <w:vAlign w:val="center"/>
          </w:tcPr>
          <w:p>
            <w:pPr>
              <w:pStyle w:val="TableContents"/>
              <w:bidi w:val="0"/>
              <w:spacing w:before="0" w:after="283"/>
              <w:jc w:val="left"/>
              <w:rPr/>
            </w:pPr>
            <w:r>
              <w:rPr/>
              <w:t> </w:t>
            </w:r>
            <w:bookmarkStart w:id="498" w:name="xdx_40A_eus-gaap--FiniteLivedIntangibleA"/>
            <w:bookmarkEnd w:id="498"/>
          </w:p>
        </w:tc>
      </w:tr>
      <w:tr>
        <w:trPr/>
        <w:tc>
          <w:tcPr>
            <w:tcW w:w="86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5,918</w:t>
            </w:r>
          </w:p>
        </w:tc>
        <w:tc>
          <w:tcPr>
            <w:tcW w:w="75" w:type="dxa"/>
            <w:tcBorders/>
            <w:shd w:fill="FFFFFF" w:val="clear"/>
            <w:vAlign w:val="center"/>
          </w:tcPr>
          <w:p>
            <w:pPr>
              <w:pStyle w:val="TableContents"/>
              <w:bidi w:val="0"/>
              <w:spacing w:before="0" w:after="283"/>
              <w:jc w:val="left"/>
              <w:rPr/>
            </w:pPr>
            <w:r>
              <w:rPr/>
              <w:t> </w:t>
            </w:r>
            <w:bookmarkStart w:id="499" w:name="xdx_405_eus-gaap--FiniteLivedIntangibleA"/>
            <w:bookmarkEnd w:id="499"/>
          </w:p>
        </w:tc>
      </w:tr>
      <w:tr>
        <w:trPr/>
        <w:tc>
          <w:tcPr>
            <w:tcW w:w="860"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5,918</w:t>
            </w:r>
          </w:p>
        </w:tc>
        <w:tc>
          <w:tcPr>
            <w:tcW w:w="75" w:type="dxa"/>
            <w:tcBorders/>
            <w:shd w:fill="CCEEFF" w:val="clear"/>
            <w:vAlign w:val="center"/>
          </w:tcPr>
          <w:p>
            <w:pPr>
              <w:pStyle w:val="TableContents"/>
              <w:bidi w:val="0"/>
              <w:spacing w:before="0" w:after="283"/>
              <w:jc w:val="left"/>
              <w:rPr/>
            </w:pPr>
            <w:r>
              <w:rPr/>
              <w:t> </w:t>
            </w:r>
            <w:bookmarkStart w:id="500" w:name="xdx_402_eus-gaap--FiniteLivedIntangibleA"/>
            <w:bookmarkEnd w:id="500"/>
          </w:p>
        </w:tc>
      </w:tr>
      <w:tr>
        <w:trPr/>
        <w:tc>
          <w:tcPr>
            <w:tcW w:w="860"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5,918</w:t>
            </w:r>
          </w:p>
        </w:tc>
        <w:tc>
          <w:tcPr>
            <w:tcW w:w="75" w:type="dxa"/>
            <w:tcBorders/>
            <w:shd w:fill="FFFFFF" w:val="clear"/>
            <w:vAlign w:val="center"/>
          </w:tcPr>
          <w:p>
            <w:pPr>
              <w:pStyle w:val="TableContents"/>
              <w:bidi w:val="0"/>
              <w:spacing w:before="0" w:after="283"/>
              <w:jc w:val="left"/>
              <w:rPr/>
            </w:pPr>
            <w:r>
              <w:rPr/>
              <w:t> </w:t>
            </w:r>
            <w:bookmarkStart w:id="501" w:name="xdx_406_eus-gaap--FiniteLivedIntangibleA"/>
            <w:bookmarkEnd w:id="501"/>
          </w:p>
        </w:tc>
      </w:tr>
      <w:tr>
        <w:trPr/>
        <w:tc>
          <w:tcPr>
            <w:tcW w:w="860"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5,918</w:t>
            </w:r>
          </w:p>
        </w:tc>
        <w:tc>
          <w:tcPr>
            <w:tcW w:w="75" w:type="dxa"/>
            <w:tcBorders/>
            <w:shd w:fill="CCEEFF" w:val="clear"/>
            <w:vAlign w:val="center"/>
          </w:tcPr>
          <w:p>
            <w:pPr>
              <w:pStyle w:val="TableContents"/>
              <w:bidi w:val="0"/>
              <w:spacing w:before="0" w:after="283"/>
              <w:jc w:val="left"/>
              <w:rPr/>
            </w:pPr>
            <w:r>
              <w:rPr/>
              <w:t> </w:t>
            </w:r>
            <w:bookmarkStart w:id="502" w:name="xdx_40B_eus-gaap--FiniteLivedIntangibleA"/>
            <w:bookmarkEnd w:id="502"/>
          </w:p>
        </w:tc>
      </w:tr>
      <w:tr>
        <w:trPr/>
        <w:tc>
          <w:tcPr>
            <w:tcW w:w="8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15,049</w:t>
            </w:r>
          </w:p>
        </w:tc>
        <w:tc>
          <w:tcPr>
            <w:tcW w:w="75" w:type="dxa"/>
            <w:tcBorders/>
            <w:shd w:fill="FFFFFF" w:val="clear"/>
            <w:vAlign w:val="center"/>
          </w:tcPr>
          <w:p>
            <w:pPr>
              <w:pStyle w:val="TableContents"/>
              <w:bidi w:val="0"/>
              <w:spacing w:before="0" w:after="283"/>
              <w:jc w:val="left"/>
              <w:rPr/>
            </w:pPr>
            <w:r>
              <w:rPr/>
              <w:t> </w:t>
            </w:r>
            <w:bookmarkStart w:id="503" w:name="xdx_403_eus-gaap--FiniteLivedIntangibleA"/>
            <w:bookmarkEnd w:id="503"/>
          </w:p>
        </w:tc>
      </w:tr>
      <w:tr>
        <w:trPr/>
        <w:tc>
          <w:tcPr>
            <w:tcW w:w="8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44,639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4" w:name="xdx_8A1_z9SlbAjUPBE5"/>
      <w:bookmarkEnd w:id="50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5" w:name="xdx_80C_eus-gaap--AccountsPayableAndAccr"/>
      <w:bookmarkEnd w:id="505"/>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xml:space="preserve"> – </w:t>
      </w:r>
      <w:bookmarkStart w:id="506" w:name="xdx_821_zUp7k4t9Ct25"/>
      <w:bookmarkEnd w:id="506"/>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7" w:name="xdx_894_eus-gaap--ScheduleOfAccountsPaya"/>
      <w:bookmarkEnd w:id="507"/>
      <w:r>
        <w:rPr>
          <w:rFonts w:ascii="Times New Roman;Times;Serif" w:hAnsi="Times New Roman;Times;Serif"/>
          <w:b w:val="false"/>
          <w:i w:val="false"/>
          <w:caps w:val="false"/>
          <w:smallCaps w:val="false"/>
          <w:sz w:val="20"/>
        </w:rPr>
        <w:t>Accounts payable and accrued expenses as of December 31, 2025 and 2024 consist of the following:</w:t>
      </w:r>
    </w:p>
    <w:p>
      <w:pPr>
        <w:pStyle w:val="TextBody"/>
        <w:bidi w:val="0"/>
        <w:spacing w:before="0" w:after="0"/>
        <w:ind w:left="0" w:right="0" w:hanging="0"/>
        <w:jc w:val="both"/>
        <w:rPr>
          <w:caps w:val="false"/>
          <w:smallCaps w:val="false"/>
        </w:rPr>
      </w:pPr>
      <w:r>
        <w:rPr>
          <w:caps w:val="false"/>
          <w:smallCaps w:val="false"/>
        </w:rPr>
        <w:t> </w:t>
      </w:r>
      <w:bookmarkStart w:id="508" w:name="xdx_8B4_zwo1mrQ3Rr9j"/>
      <w:bookmarkEnd w:id="508"/>
      <w:r>
        <w:rPr>
          <w:rFonts w:ascii="Times New Roman;Times;Serif" w:hAnsi="Times New Roman;Times;Serif"/>
          <w:b w:val="false"/>
          <w:i w:val="false"/>
          <w:caps w:val="false"/>
          <w:smallCaps w:val="false"/>
          <w:sz w:val="20"/>
        </w:rPr>
        <w:t>SCHEDULE OF ACCOUNTS PAYABLE AND ACCRUED EXPENSE</w:t>
      </w:r>
    </w:p>
    <w:tbl>
      <w:tblPr>
        <w:tblW w:w="7365" w:type="dxa"/>
        <w:jc w:val="left"/>
        <w:tblInd w:w="0" w:type="dxa"/>
        <w:tblLayout w:type="fixed"/>
        <w:tblCellMar>
          <w:top w:w="0" w:type="dxa"/>
          <w:left w:w="0" w:type="dxa"/>
          <w:bottom w:w="0" w:type="dxa"/>
          <w:right w:w="0" w:type="dxa"/>
        </w:tblCellMar>
      </w:tblPr>
      <w:tblGrid>
        <w:gridCol w:w="4280"/>
        <w:gridCol w:w="60"/>
        <w:gridCol w:w="283"/>
        <w:gridCol w:w="1132"/>
        <w:gridCol w:w="60"/>
        <w:gridCol w:w="60"/>
        <w:gridCol w:w="283"/>
        <w:gridCol w:w="1132"/>
        <w:gridCol w:w="75"/>
      </w:tblGrid>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9B_20251231_zkJ8yv51sZle"/>
            <w:bookmarkEnd w:id="509"/>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2_20241231_zEADpkUOgpN"/>
            <w:bookmarkEnd w:id="510"/>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(000’s)</w:t>
            </w:r>
          </w:p>
        </w:tc>
        <w:tc>
          <w:tcPr>
            <w:tcW w:w="75" w:type="dxa"/>
            <w:tcBorders/>
            <w:vAlign w:val="center"/>
          </w:tcPr>
          <w:p>
            <w:pPr>
              <w:pStyle w:val="TableContents"/>
              <w:bidi w:val="0"/>
              <w:spacing w:before="0" w:after="283"/>
              <w:jc w:val="left"/>
              <w:rPr/>
            </w:pPr>
            <w:r>
              <w:rPr/>
              <w:t> </w:t>
            </w:r>
            <w:bookmarkStart w:id="511" w:name="xdx_402_eus-gaap--AccruedProfessionalFee"/>
            <w:bookmarkEnd w:id="511"/>
          </w:p>
        </w:tc>
      </w:tr>
      <w:tr>
        <w:trPr/>
        <w:tc>
          <w:tcPr>
            <w:tcW w:w="4280" w:type="dxa"/>
            <w:tcBorders/>
            <w:shd w:fill="CCEEFF" w:val="clear"/>
            <w:vAlign w:val="center"/>
          </w:tcPr>
          <w:p>
            <w:pPr>
              <w:pStyle w:val="TableContents"/>
              <w:bidi w:val="0"/>
              <w:spacing w:before="0" w:after="283"/>
              <w:jc w:val="left"/>
              <w:rPr/>
            </w:pPr>
            <w:r>
              <w:rPr/>
              <w:t>Accrued accounting and legal</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391</w:t>
            </w:r>
          </w:p>
        </w:tc>
        <w:tc>
          <w:tcPr>
            <w:tcW w:w="75" w:type="dxa"/>
            <w:tcBorders/>
            <w:shd w:fill="CCEEFF" w:val="clear"/>
            <w:vAlign w:val="center"/>
          </w:tcPr>
          <w:p>
            <w:pPr>
              <w:pStyle w:val="TableContents"/>
              <w:bidi w:val="0"/>
              <w:spacing w:before="0" w:after="283"/>
              <w:jc w:val="left"/>
              <w:rPr/>
            </w:pPr>
            <w:r>
              <w:rPr/>
              <w:t> </w:t>
            </w:r>
            <w:bookmarkStart w:id="512" w:name="xdx_406_ecustom--AccruedConsultingCurren"/>
            <w:bookmarkEnd w:id="512"/>
          </w:p>
        </w:tc>
      </w:tr>
      <w:tr>
        <w:trPr/>
        <w:tc>
          <w:tcPr>
            <w:tcW w:w="4280" w:type="dxa"/>
            <w:tcBorders/>
            <w:shd w:fill="FFFFFF" w:val="clear"/>
            <w:vAlign w:val="center"/>
          </w:tcPr>
          <w:p>
            <w:pPr>
              <w:pStyle w:val="TableContents"/>
              <w:bidi w:val="0"/>
              <w:spacing w:before="0" w:after="283"/>
              <w:jc w:val="left"/>
              <w:rPr/>
            </w:pPr>
            <w:r>
              <w:rPr/>
              <w:t>Accrued consulting</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171</w:t>
            </w:r>
          </w:p>
        </w:tc>
        <w:tc>
          <w:tcPr>
            <w:tcW w:w="75" w:type="dxa"/>
            <w:tcBorders/>
            <w:shd w:fill="FFFFFF" w:val="clear"/>
            <w:vAlign w:val="center"/>
          </w:tcPr>
          <w:p>
            <w:pPr>
              <w:pStyle w:val="TableContents"/>
              <w:bidi w:val="0"/>
              <w:spacing w:before="0" w:after="283"/>
              <w:jc w:val="left"/>
              <w:rPr/>
            </w:pPr>
            <w:r>
              <w:rPr/>
              <w:t> </w:t>
            </w:r>
            <w:bookmarkStart w:id="513" w:name="xdx_404_ecustom--AccruedInterestCurrent_"/>
            <w:bookmarkEnd w:id="513"/>
          </w:p>
        </w:tc>
      </w:tr>
      <w:tr>
        <w:trPr/>
        <w:tc>
          <w:tcPr>
            <w:tcW w:w="4280"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4" w:name="xdx_40C_ecustom--AccruedResearchAndDevel"/>
            <w:bookmarkEnd w:id="514"/>
          </w:p>
        </w:tc>
      </w:tr>
      <w:tr>
        <w:trPr/>
        <w:tc>
          <w:tcPr>
            <w:tcW w:w="4280" w:type="dxa"/>
            <w:tcBorders/>
            <w:shd w:fill="FFFFFF" w:val="clear"/>
            <w:vAlign w:val="center"/>
          </w:tcPr>
          <w:p>
            <w:pPr>
              <w:pStyle w:val="TableContents"/>
              <w:bidi w:val="0"/>
              <w:spacing w:before="0" w:after="283"/>
              <w:jc w:val="left"/>
              <w:rPr/>
            </w:pPr>
            <w:r>
              <w:rPr/>
              <w:t>Accrued research and development expenses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351</w:t>
            </w:r>
          </w:p>
        </w:tc>
        <w:tc>
          <w:tcPr>
            <w:tcW w:w="75" w:type="dxa"/>
            <w:tcBorders/>
            <w:shd w:fill="FFFFFF" w:val="clear"/>
            <w:vAlign w:val="center"/>
          </w:tcPr>
          <w:p>
            <w:pPr>
              <w:pStyle w:val="TableContents"/>
              <w:bidi w:val="0"/>
              <w:spacing w:before="0" w:after="283"/>
              <w:jc w:val="left"/>
              <w:rPr/>
            </w:pPr>
            <w:r>
              <w:rPr/>
              <w:t> </w:t>
            </w:r>
            <w:bookmarkStart w:id="515" w:name="xdx_406_ecustom--AccruedOfficeExpenseAnd"/>
            <w:bookmarkEnd w:id="515"/>
          </w:p>
        </w:tc>
      </w:tr>
      <w:tr>
        <w:trPr/>
        <w:tc>
          <w:tcPr>
            <w:tcW w:w="4280" w:type="dxa"/>
            <w:tcBorders/>
            <w:shd w:fill="CCEEFF" w:val="clear"/>
            <w:vAlign w:val="center"/>
          </w:tcPr>
          <w:p>
            <w:pPr>
              <w:pStyle w:val="TableContents"/>
              <w:bidi w:val="0"/>
              <w:spacing w:before="0" w:after="283"/>
              <w:jc w:val="left"/>
              <w:rPr/>
            </w:pPr>
            <w:r>
              <w:rPr/>
              <w:t>Accrued office and other</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439</w:t>
            </w:r>
          </w:p>
        </w:tc>
        <w:tc>
          <w:tcPr>
            <w:tcW w:w="75" w:type="dxa"/>
            <w:tcBorders/>
            <w:shd w:fill="CCEEFF" w:val="clear"/>
            <w:vAlign w:val="center"/>
          </w:tcPr>
          <w:p>
            <w:pPr>
              <w:pStyle w:val="TableContents"/>
              <w:bidi w:val="0"/>
              <w:spacing w:before="0" w:after="283"/>
              <w:jc w:val="left"/>
              <w:rPr/>
            </w:pPr>
            <w:r>
              <w:rPr/>
              <w:t> </w:t>
            </w:r>
            <w:bookmarkStart w:id="516" w:name="xdx_404_ecustom--AccruedInsurancePremium"/>
            <w:bookmarkEnd w:id="516"/>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insurance premium financing</w:t>
            </w:r>
            <w:bookmarkStart w:id="517" w:name="xdx_F45_zsZsrhqlu1U2"/>
            <w:bookmarkEnd w:id="517"/>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8" w:name="xdx_402_ecustom--AccruedSettlementExpens"/>
            <w:bookmarkEnd w:id="518"/>
          </w:p>
        </w:tc>
      </w:tr>
      <w:tr>
        <w:trPr/>
        <w:tc>
          <w:tcPr>
            <w:tcW w:w="4280" w:type="dxa"/>
            <w:tcBorders/>
            <w:shd w:fill="CCEEFF" w:val="clear"/>
            <w:vAlign w:val="center"/>
          </w:tcPr>
          <w:p>
            <w:pPr>
              <w:pStyle w:val="TableContents"/>
              <w:bidi w:val="0"/>
              <w:spacing w:before="0" w:after="283"/>
              <w:jc w:val="left"/>
              <w:rPr/>
            </w:pPr>
            <w:r>
              <w:rPr/>
              <w:t>Accrued settlement expense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519" w:name="xdx_40B_eus-gaap--AccruedSalariesCurrent"/>
            <w:bookmarkEnd w:id="519"/>
          </w:p>
        </w:tc>
      </w:tr>
      <w:tr>
        <w:trPr/>
        <w:tc>
          <w:tcPr>
            <w:tcW w:w="4280" w:type="dxa"/>
            <w:tcBorders/>
            <w:shd w:fill="FFFFFF" w:val="clear"/>
            <w:vAlign w:val="center"/>
          </w:tcPr>
          <w:p>
            <w:pPr>
              <w:pStyle w:val="TableContents"/>
              <w:bidi w:val="0"/>
              <w:spacing w:before="0" w:after="283"/>
              <w:jc w:val="left"/>
              <w:rPr/>
            </w:pPr>
            <w:r>
              <w:rPr/>
              <w:t>Accrued payroll</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186</w:t>
            </w:r>
          </w:p>
        </w:tc>
        <w:tc>
          <w:tcPr>
            <w:tcW w:w="75" w:type="dxa"/>
            <w:tcBorders/>
            <w:shd w:fill="FFFFFF" w:val="clear"/>
            <w:vAlign w:val="center"/>
          </w:tcPr>
          <w:p>
            <w:pPr>
              <w:pStyle w:val="TableContents"/>
              <w:bidi w:val="0"/>
              <w:spacing w:before="0" w:after="283"/>
              <w:jc w:val="left"/>
              <w:rPr/>
            </w:pPr>
            <w:r>
              <w:rPr/>
              <w:t> </w:t>
            </w:r>
            <w:bookmarkStart w:id="520" w:name="xdx_402_eus-gaap--OtherAccruedLiabilitie"/>
            <w:bookmarkEnd w:id="520"/>
          </w:p>
        </w:tc>
      </w:tr>
      <w:tr>
        <w:trPr/>
        <w:tc>
          <w:tcPr>
            <w:tcW w:w="4280"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bookmarkStart w:id="521" w:name="xdx_402_eus-gaap--AccountsPayableAndAccr"/>
            <w:bookmarkEnd w:id="521"/>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2,052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22" w:name="xdx_F06_zXtyQGyfJjw1"/>
            <w:bookmarkEnd w:id="522"/>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3" w:name="xdx_F1C_z0FHY74rJ6w"/>
            <w:bookmarkEnd w:id="523"/>
            <w:r>
              <w:rPr>
                <w:rFonts w:ascii="Times New Roman;Times;Serif" w:hAnsi="Times New Roman;Times;Serif"/>
                <w:b w:val="false"/>
                <w:i w:val="false"/>
                <w:caps w:val="false"/>
                <w:smallCaps w:val="false"/>
                <w:sz w:val="20"/>
              </w:rPr>
              <w:t>On August 27, 2025, the Company entered into a premium finance agreement for the policy period beginning August 3, 2025. The total premium was $</w:t>
            </w:r>
            <w:bookmarkStart w:id="524" w:name="xdx_902_eus-gaap--AccountsPayableCurrent"/>
            <w:bookmarkEnd w:id="524"/>
            <w:r>
              <w:rPr>
                <w:rFonts w:ascii="Times New Roman;Times;Serif" w:hAnsi="Times New Roman;Times;Serif"/>
                <w:b w:val="false"/>
                <w:i w:val="false"/>
                <w:caps w:val="false"/>
                <w:smallCaps w:val="false"/>
                <w:sz w:val="20"/>
              </w:rPr>
              <w:t>2,172,622, of which $</w:t>
            </w:r>
            <w:bookmarkStart w:id="525" w:name="xdx_902_eus-gaap--AccountsPayableOtherCu"/>
            <w:bookmarkEnd w:id="525"/>
            <w:r>
              <w:rPr>
                <w:rFonts w:ascii="Times New Roman;Times;Serif" w:hAnsi="Times New Roman;Times;Serif"/>
                <w:b w:val="false"/>
                <w:i w:val="false"/>
                <w:caps w:val="false"/>
                <w:smallCaps w:val="false"/>
                <w:sz w:val="20"/>
              </w:rPr>
              <w:t>544 was paid as a down payment and $</w:t>
            </w:r>
            <w:bookmarkStart w:id="526" w:name="xdx_90D_eus-gaap--IncreaseDecreaseInOthe"/>
            <w:bookmarkEnd w:id="526"/>
            <w:r>
              <w:rPr>
                <w:rFonts w:ascii="Times New Roman;Times;Serif" w:hAnsi="Times New Roman;Times;Serif"/>
                <w:b w:val="false"/>
                <w:i w:val="false"/>
                <w:caps w:val="false"/>
                <w:smallCaps w:val="false"/>
                <w:sz w:val="20"/>
              </w:rPr>
              <w:t>1.6 million was financed. The agreement includes a finance charge of $</w:t>
            </w:r>
            <w:bookmarkStart w:id="527" w:name="xdx_90C_eus-gaap--PaymentsToAcquireFinan"/>
            <w:bookmarkEnd w:id="527"/>
            <w:r>
              <w:rPr>
                <w:rFonts w:ascii="Times New Roman;Times;Serif" w:hAnsi="Times New Roman;Times;Serif"/>
                <w:b w:val="false"/>
                <w:i w:val="false"/>
                <w:caps w:val="false"/>
                <w:smallCaps w:val="false"/>
                <w:sz w:val="20"/>
              </w:rPr>
              <w:t>51, resulting in total payments of $</w:t>
            </w:r>
            <w:bookmarkStart w:id="528" w:name="xdx_903_eus-gaap--AccountsPayableOtherCu"/>
            <w:bookmarkEnd w:id="528"/>
            <w:r>
              <w:rPr>
                <w:rFonts w:ascii="Times New Roman;Times;Serif" w:hAnsi="Times New Roman;Times;Serif"/>
                <w:b w:val="false"/>
                <w:i w:val="false"/>
                <w:caps w:val="false"/>
                <w:smallCaps w:val="false"/>
                <w:sz w:val="20"/>
              </w:rPr>
              <w:t>1.7 million payable in nine monthly installments of $</w:t>
            </w:r>
            <w:bookmarkStart w:id="529" w:name="xdx_901_ecustom--AccountsPayableMonthlyI"/>
            <w:bookmarkEnd w:id="529"/>
            <w:r>
              <w:rPr>
                <w:rFonts w:ascii="Times New Roman;Times;Serif" w:hAnsi="Times New Roman;Times;Serif"/>
                <w:b w:val="false"/>
                <w:i w:val="false"/>
                <w:caps w:val="false"/>
                <w:smallCaps w:val="false"/>
                <w:sz w:val="20"/>
              </w:rPr>
              <w:t xml:space="preserve">187 through May 2026 at an annual percentage rate of </w:t>
            </w:r>
            <w:bookmarkStart w:id="530" w:name="xdx_90B_ecustom--AnnualPercentageRate_iI"/>
            <w:bookmarkEnd w:id="530"/>
            <w:r>
              <w:rPr>
                <w:rFonts w:ascii="Times New Roman;Times;Serif" w:hAnsi="Times New Roman;Times;Serif"/>
                <w:b w:val="false"/>
                <w:i w:val="false"/>
                <w:caps w:val="false"/>
                <w:smallCaps w:val="false"/>
                <w:sz w:val="20"/>
              </w:rPr>
              <w:t>7.48%.</w:t>
            </w:r>
          </w:p>
        </w:tc>
      </w:tr>
    </w:tbl>
    <w:p>
      <w:pPr>
        <w:pStyle w:val="TextBody"/>
        <w:bidi w:val="0"/>
        <w:spacing w:before="0" w:after="0"/>
        <w:ind w:left="720" w:right="0" w:hanging="0"/>
        <w:jc w:val="both"/>
        <w:rPr>
          <w:caps w:val="false"/>
          <w:smallCaps w:val="false"/>
        </w:rPr>
      </w:pPr>
      <w:bookmarkStart w:id="531" w:name="xdx_8A5_zRd6obP2sBdk"/>
      <w:bookmarkEnd w:id="53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obligation is secured by unearned premiums under the financed policies. As of December 31, 2025, the Company recorded prepaid insurance of approximately $</w:t>
      </w:r>
      <w:bookmarkStart w:id="532" w:name="xdx_90A_eus-gaap--PrepaidInsurance_iI_pn"/>
      <w:bookmarkEnd w:id="532"/>
      <w:r>
        <w:rPr>
          <w:rFonts w:ascii="Times New Roman;Times;Serif" w:hAnsi="Times New Roman;Times;Serif"/>
          <w:b w:val="false"/>
          <w:i w:val="false"/>
          <w:caps w:val="false"/>
          <w:smallCaps w:val="false"/>
          <w:sz w:val="20"/>
        </w:rPr>
        <w:t>1.26 million and AFCO loan payable of approximately $</w:t>
      </w:r>
      <w:bookmarkStart w:id="533" w:name="xdx_906_eus-gaap--LoansPayable_iI_pn4n6_"/>
      <w:bookmarkEnd w:id="533"/>
      <w:r>
        <w:rPr>
          <w:rFonts w:ascii="Times New Roman;Times;Serif" w:hAnsi="Times New Roman;Times;Serif"/>
          <w:b w:val="false"/>
          <w:i w:val="false"/>
          <w:caps w:val="false"/>
          <w:smallCaps w:val="false"/>
          <w:sz w:val="20"/>
        </w:rPr>
        <w:t>0.9 million. Prepaid insurance is amortized over the policy term, and the financing liability is reduced as payments are made. Interest expense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4" w:name="xdx_80C_eus-gaap--StockholdersEquityNote"/>
      <w:bookmarkEnd w:id="534"/>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bookmarkStart w:id="535" w:name="xdx_82F_zUlav1zKgss1"/>
      <w:bookmarkEnd w:id="535"/>
      <w:r>
        <w:rPr>
          <w:rFonts w:ascii="Times New Roman;Times;Serif" w:hAnsi="Times New Roman;Times;Serif"/>
          <w:b/>
          <w:i w:val="false"/>
          <w:caps w:val="false"/>
          <w:smallCaps w:val="false"/>
          <w:sz w:val="20"/>
        </w:rPr>
        <w:t>STOCKHOLDER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536" w:name="xdx_905_eus-gaap--PreferredStockSharesAu"/>
      <w:bookmarkEnd w:id="536"/>
      <w:r>
        <w:rPr>
          <w:rFonts w:ascii="Times New Roman;Times;Serif" w:hAnsi="Times New Roman;Times;Serif"/>
          <w:b w:val="false"/>
          <w:i w:val="false"/>
          <w:caps w:val="false"/>
          <w:smallCaps w:val="false"/>
          <w:sz w:val="20"/>
        </w:rPr>
        <w:t>1,000,000 shares of $</w:t>
      </w:r>
      <w:bookmarkStart w:id="537" w:name="xdx_902_eus-gaap--PreferredStockParOrSta"/>
      <w:bookmarkEnd w:id="537"/>
      <w:r>
        <w:rPr>
          <w:rFonts w:ascii="Times New Roman;Times;Serif" w:hAnsi="Times New Roman;Times;Serif"/>
          <w:b w:val="false"/>
          <w:i w:val="false"/>
          <w:caps w:val="false"/>
          <w:smallCaps w:val="false"/>
          <w:sz w:val="20"/>
        </w:rPr>
        <w:t xml:space="preserve">0.001 par value preferred stock. As of December 31, 2025 and 2024, the Company has designated </w:t>
      </w:r>
      <w:bookmarkStart w:id="538" w:name="xdx_900_eus-gaap--PreferredStockSharesAu"/>
      <w:bookmarkStart w:id="539" w:name="xdx_907_eus-gaap--PreferredStockSharesAu"/>
      <w:bookmarkEnd w:id="538"/>
      <w:bookmarkEnd w:id="539"/>
      <w:r>
        <w:rPr>
          <w:rFonts w:ascii="Times New Roman;Times;Serif" w:hAnsi="Times New Roman;Times;Serif"/>
          <w:b w:val="false"/>
          <w:i w:val="false"/>
          <w:caps w:val="false"/>
          <w:smallCaps w:val="false"/>
          <w:sz w:val="20"/>
        </w:rPr>
        <w:t xml:space="preserve">200 shares of Series A preferred stock, </w:t>
      </w:r>
      <w:bookmarkStart w:id="540" w:name="xdx_902_eus-gaap--PreferredStockSharesAu"/>
      <w:bookmarkStart w:id="541" w:name="xdx_900_eus-gaap--PreferredStockSharesAu"/>
      <w:bookmarkEnd w:id="540"/>
      <w:bookmarkEnd w:id="541"/>
      <w:r>
        <w:rPr>
          <w:rFonts w:ascii="Times New Roman;Times;Serif" w:hAnsi="Times New Roman;Times;Serif"/>
          <w:b w:val="false"/>
          <w:i w:val="false"/>
          <w:caps w:val="false"/>
          <w:smallCaps w:val="false"/>
          <w:sz w:val="20"/>
        </w:rPr>
        <w:t xml:space="preserve">600 shares of Series B preferred stock, </w:t>
      </w:r>
      <w:bookmarkStart w:id="542" w:name="xdx_90D_eus-gaap--PreferredStockSharesAu"/>
      <w:bookmarkStart w:id="543" w:name="xdx_909_eus-gaap--PreferredStockSharesAu"/>
      <w:bookmarkEnd w:id="542"/>
      <w:bookmarkEnd w:id="543"/>
      <w:r>
        <w:rPr>
          <w:rFonts w:ascii="Times New Roman;Times;Serif" w:hAnsi="Times New Roman;Times;Serif"/>
          <w:b w:val="false"/>
          <w:i w:val="false"/>
          <w:caps w:val="false"/>
          <w:smallCaps w:val="false"/>
          <w:sz w:val="20"/>
        </w:rPr>
        <w:t xml:space="preserve">4,200 shares of Series C Preferred Stock, </w:t>
      </w:r>
      <w:bookmarkStart w:id="544" w:name="xdx_900_eus-gaap--PreferredStockSharesAu"/>
      <w:bookmarkStart w:id="545" w:name="xdx_904_eus-gaap--PreferredStockSharesAu"/>
      <w:bookmarkEnd w:id="544"/>
      <w:bookmarkEnd w:id="545"/>
      <w:r>
        <w:rPr>
          <w:rFonts w:ascii="Times New Roman;Times;Serif" w:hAnsi="Times New Roman;Times;Serif"/>
          <w:b w:val="false"/>
          <w:i w:val="false"/>
          <w:caps w:val="false"/>
          <w:smallCaps w:val="false"/>
          <w:sz w:val="20"/>
        </w:rPr>
        <w:t xml:space="preserve">1,400 shares of Series D Preferred Stock, </w:t>
      </w:r>
      <w:bookmarkStart w:id="546" w:name="xdx_906_eus-gaap--PreferredStockSharesAu"/>
      <w:bookmarkStart w:id="547" w:name="xdx_90A_eus-gaap--PreferredStockSharesAu"/>
      <w:bookmarkEnd w:id="546"/>
      <w:bookmarkEnd w:id="547"/>
      <w:r>
        <w:rPr>
          <w:rFonts w:ascii="Times New Roman;Times;Serif" w:hAnsi="Times New Roman;Times;Serif"/>
          <w:b w:val="false"/>
          <w:i w:val="false"/>
          <w:caps w:val="false"/>
          <w:smallCaps w:val="false"/>
          <w:sz w:val="20"/>
        </w:rPr>
        <w:t xml:space="preserve">1,000 shares of Series E Preferred Stock, </w:t>
      </w:r>
      <w:bookmarkStart w:id="548" w:name="xdx_902_eus-gaap--PreferredStockSharesAu"/>
      <w:bookmarkStart w:id="549" w:name="xdx_901_eus-gaap--PreferredStockSharesAu"/>
      <w:bookmarkEnd w:id="548"/>
      <w:bookmarkEnd w:id="549"/>
      <w:r>
        <w:rPr>
          <w:rFonts w:ascii="Times New Roman;Times;Serif" w:hAnsi="Times New Roman;Times;Serif"/>
          <w:b w:val="false"/>
          <w:i w:val="false"/>
          <w:caps w:val="false"/>
          <w:smallCaps w:val="false"/>
          <w:sz w:val="20"/>
        </w:rPr>
        <w:t>200,000 shares of Series F Preferred Stock and 1 Special Voting Preferred Stock. As of December 31, 2025 and 2024, there were no issued or outstanding shares of Series A, Series B, Series D, Series E and 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Voting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Exchangeable Shares, the Company designated one share of Special Voting Preferred Stock, par value $</w:t>
      </w:r>
      <w:bookmarkStart w:id="550" w:name="xdx_90A_eus-gaap--PreferredStockParOrSta"/>
      <w:bookmarkEnd w:id="550"/>
      <w:r>
        <w:rPr>
          <w:rFonts w:ascii="Times New Roman;Times;Serif" w:hAnsi="Times New Roman;Times;Serif"/>
          <w:b w:val="false"/>
          <w:i w:val="false"/>
          <w:caps w:val="false"/>
          <w:smallCaps w:val="false"/>
          <w:sz w:val="20"/>
        </w:rPr>
        <w:t>0.001 per share. One share of Special Voting Preferred Stock was issued and outstanding as of December 31, 2025. No shares of Special Voting Preferred Stock were issued or outstanding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Voting Preferred Stock was issued to a trustee and does not have any economic rights, including rights to dividends or participation in liquidation, other than a nominal liquidation preference of $</w:t>
      </w:r>
      <w:bookmarkStart w:id="551" w:name="xdx_90A_eus-gaap--TemporaryEquityLiquida"/>
      <w:bookmarkEnd w:id="551"/>
      <w:r>
        <w:rPr>
          <w:rFonts w:ascii="Times New Roman;Times;Serif" w:hAnsi="Times New Roman;Times;Serif"/>
          <w:b w:val="false"/>
          <w:i w:val="false"/>
          <w:caps w:val="false"/>
          <w:smallCaps w:val="false"/>
          <w:sz w:val="20"/>
        </w:rPr>
        <w:t>1.00. The Special Voting Preferred Stock is not convertible into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purpose of the Special Voting Preferred Stock is to provide voting rights to holders of Exchangeable Shares on an equivalent basis with holders of the Company’s common stock. The holder of the Special Voting Preferred Stock is entitled to cast a number of votes equal to the aggregate number of votes that the holders of Exchangeable Shares would be entitled to cast if such Exchangeable Shares were exchanged for shares of the Company’s common stock, in accordance with the Exchange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associated with the Special Voting Preferred Stock terminate automatically upon the exchange or cancellation of all outstanding Exchangeable Shares, at which time the Special Voting Preferred Stock is automatically cancelled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C Preferred Stock (“Series C”) issued and outstanding totaled </w:t>
      </w:r>
      <w:bookmarkStart w:id="552" w:name="xdx_90B_eus-gaap--PreferredStockSharesOu"/>
      <w:bookmarkStart w:id="553" w:name="xdx_90F_eus-gaap--PreferredStockSharesIs"/>
      <w:bookmarkStart w:id="554" w:name="xdx_90D_eus-gaap--PreferredStockSharesOu"/>
      <w:bookmarkStart w:id="555" w:name="xdx_90D_eus-gaap--PreferredStockSharesIs"/>
      <w:bookmarkEnd w:id="552"/>
      <w:bookmarkEnd w:id="553"/>
      <w:bookmarkEnd w:id="554"/>
      <w:bookmarkEnd w:id="555"/>
      <w:r>
        <w:rPr>
          <w:rFonts w:ascii="Times New Roman;Times;Serif" w:hAnsi="Times New Roman;Times;Serif"/>
          <w:b w:val="false"/>
          <w:i w:val="false"/>
          <w:caps w:val="false"/>
          <w:smallCaps w:val="false"/>
          <w:sz w:val="20"/>
        </w:rPr>
        <w:t>105 shares as of December 31, 2025 and 2024. As of December 31, 2025 and 2024, the Company has accrued $</w:t>
      </w:r>
      <w:bookmarkStart w:id="556" w:name="xdx_90D_eus-gaap--DividendsPayableCurren"/>
      <w:bookmarkEnd w:id="556"/>
      <w:r>
        <w:rPr>
          <w:rFonts w:ascii="Times New Roman;Times;Serif" w:hAnsi="Times New Roman;Times;Serif"/>
          <w:b w:val="false"/>
          <w:i w:val="false"/>
          <w:caps w:val="false"/>
          <w:smallCaps w:val="false"/>
          <w:sz w:val="20"/>
        </w:rPr>
        <w:t>121 and $</w:t>
      </w:r>
      <w:bookmarkStart w:id="557" w:name="xdx_90E_eus-gaap--DividendsPayableCurren"/>
      <w:bookmarkEnd w:id="557"/>
      <w:r>
        <w:rPr>
          <w:rFonts w:ascii="Times New Roman;Times;Serif" w:hAnsi="Times New Roman;Times;Serif"/>
          <w:b w:val="false"/>
          <w:i w:val="false"/>
          <w:caps w:val="false"/>
          <w:smallCaps w:val="false"/>
          <w:sz w:val="20"/>
        </w:rPr>
        <w:t>110 dividends payable on the Series C, respectively. As of December 31, 2025 and 2024, the cumulative dividend per share payable on the Series C was approximately $</w:t>
      </w:r>
      <w:bookmarkStart w:id="558" w:name="xdx_903_ecustom--CumulativeDividendsPaya"/>
      <w:bookmarkEnd w:id="558"/>
      <w:r>
        <w:rPr>
          <w:rFonts w:ascii="Times New Roman;Times;Serif" w:hAnsi="Times New Roman;Times;Serif"/>
          <w:b w:val="false"/>
          <w:i w:val="false"/>
          <w:caps w:val="false"/>
          <w:smallCaps w:val="false"/>
          <w:sz w:val="20"/>
        </w:rPr>
        <w:t>1,153 and $</w:t>
      </w:r>
      <w:bookmarkStart w:id="559" w:name="xdx_902_ecustom--CumulativeDividendsPaya"/>
      <w:bookmarkEnd w:id="559"/>
      <w:r>
        <w:rPr>
          <w:rFonts w:ascii="Times New Roman;Times;Serif" w:hAnsi="Times New Roman;Times;Serif"/>
          <w:b w:val="false"/>
          <w:i w:val="false"/>
          <w:caps w:val="false"/>
          <w:smallCaps w:val="false"/>
          <w:sz w:val="20"/>
        </w:rPr>
        <w:t>1,048,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is convertible at the holder’s option into shares of common stock at a conversion price of $</w:t>
      </w:r>
      <w:bookmarkStart w:id="560" w:name="xdx_90D_eus-gaap--CommonStockConvertible"/>
      <w:bookmarkEnd w:id="560"/>
      <w:r>
        <w:rPr>
          <w:rFonts w:ascii="Times New Roman;Times;Serif" w:hAnsi="Times New Roman;Times;Serif"/>
          <w:b w:val="false"/>
          <w:i w:val="false"/>
          <w:caps w:val="false"/>
          <w:smallCaps w:val="false"/>
          <w:sz w:val="20"/>
        </w:rPr>
        <w:t>0.3197 per share, based on the stated value of $</w:t>
      </w:r>
      <w:bookmarkStart w:id="561" w:name="xdx_900_eus-gaap--SharesIssuedPricePerSh"/>
      <w:bookmarkEnd w:id="561"/>
      <w:r>
        <w:rPr>
          <w:rFonts w:ascii="Times New Roman;Times;Serif" w:hAnsi="Times New Roman;Times;Serif"/>
          <w:b w:val="false"/>
          <w:i w:val="false"/>
          <w:caps w:val="false"/>
          <w:smallCaps w:val="false"/>
          <w:sz w:val="20"/>
        </w:rPr>
        <w:t xml:space="preserve">1,000 per preferred share. As of December 31, 2025, the outstanding Series C shares were convertible into an aggregate of </w:t>
      </w:r>
      <w:bookmarkStart w:id="562" w:name="xdx_90C_eus-gaap--ConversionOfStockShare"/>
      <w:bookmarkEnd w:id="562"/>
      <w:r>
        <w:rPr>
          <w:rFonts w:ascii="Times New Roman;Times;Serif" w:hAnsi="Times New Roman;Times;Serif"/>
          <w:b w:val="false"/>
          <w:i w:val="false"/>
          <w:caps w:val="false"/>
          <w:smallCaps w:val="false"/>
          <w:sz w:val="20"/>
        </w:rPr>
        <w:t xml:space="preserve">370,910 shares of common stock, which includes </w:t>
      </w:r>
      <w:bookmarkStart w:id="563" w:name="xdx_902_eus-gaap--StockIssuedDuringPerio"/>
      <w:bookmarkEnd w:id="563"/>
      <w:r>
        <w:rPr>
          <w:rFonts w:ascii="Times New Roman;Times;Serif" w:hAnsi="Times New Roman;Times;Serif"/>
          <w:b w:val="false"/>
          <w:i w:val="false"/>
          <w:caps w:val="false"/>
          <w:smallCaps w:val="false"/>
          <w:sz w:val="20"/>
        </w:rPr>
        <w:t>42,477 shares issuable for accrued dividends at a conversion rate of $</w:t>
      </w:r>
      <w:bookmarkStart w:id="564" w:name="xdx_90E_eus-gaap--PreferredStockConverti"/>
      <w:bookmarkEnd w:id="564"/>
      <w:r>
        <w:rPr>
          <w:rFonts w:ascii="Times New Roman;Times;Serif" w:hAnsi="Times New Roman;Times;Serif"/>
          <w:b w:val="false"/>
          <w:i w:val="false"/>
          <w:caps w:val="false"/>
          <w:smallCaps w:val="false"/>
          <w:sz w:val="20"/>
        </w:rPr>
        <w:t>2.8495 per share. The Series C is subject to full ratchet anti-dilution price protection upon issuance of equity or equity-linked securities at an effective price below $</w:t>
      </w:r>
      <w:bookmarkStart w:id="565" w:name="xdx_90F_ecustom--PreferredStockConvertib"/>
      <w:bookmarkEnd w:id="565"/>
      <w:r>
        <w:rPr>
          <w:rFonts w:ascii="Times New Roman;Times;Serif" w:hAnsi="Times New Roman;Times;Serif"/>
          <w:b w:val="false"/>
          <w:i w:val="false"/>
          <w:caps w:val="false"/>
          <w:smallCaps w:val="false"/>
          <w:sz w:val="20"/>
        </w:rPr>
        <w:t>0.3197 per share, as well as customary anti-dilution adjustments for stock splits and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ranks senior to common stock and all other equity securities with respect to dividends and liquidation. In the event of liquidation, holders are entitled to receive the stated value plus accrued but unpaid dividends and any other amounts due. The Series C becomes redeemable at a premium or subject to an increased dividend rate of 18% upon the occurrence of certain events,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deliver common stock upon conversion within specified timeframes,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pay cash amounts due upon such failure,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authorized shares to honor conversions,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uncured material breaches of agreements related to the Series 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of control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or insolvency,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unstayed judgment exceeding $</w:t>
            </w:r>
            <w:bookmarkStart w:id="566" w:name="xdx_900_ecustom--UnstayedJudgementAmount"/>
            <w:bookmarkEnd w:id="566"/>
            <w:r>
              <w:rPr>
                <w:rFonts w:ascii="Times New Roman;Times;Serif" w:hAnsi="Times New Roman;Times;Serif"/>
                <w:b w:val="false"/>
                <w:i w:val="false"/>
                <w:caps w:val="false"/>
                <w:smallCaps w:val="false"/>
                <w:sz w:val="20"/>
              </w:rPr>
              <w:t>100,000 for more than 45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2025, the Company’s shareholders approved an amendment to the Company’s articles of incorporation that increased the amount of common stock authorized for issuance to </w:t>
      </w:r>
      <w:bookmarkStart w:id="567" w:name="xdx_901_eus-gaap--CommonStockSharesAutho"/>
      <w:bookmarkEnd w:id="567"/>
      <w:r>
        <w:rPr>
          <w:rFonts w:ascii="Times New Roman;Times;Serif" w:hAnsi="Times New Roman;Times;Serif"/>
          <w:b w:val="false"/>
          <w:i w:val="false"/>
          <w:caps w:val="false"/>
          <w:smallCaps w:val="false"/>
          <w:sz w:val="20"/>
        </w:rPr>
        <w:t>500,000,000 with a par value of $</w:t>
      </w:r>
      <w:bookmarkStart w:id="568" w:name="xdx_902_eus-gaap--CommonStockParOrStated"/>
      <w:bookmarkEnd w:id="568"/>
      <w:r>
        <w:rPr>
          <w:rFonts w:ascii="Times New Roman;Times;Serif" w:hAnsi="Times New Roman;Times;Serif"/>
          <w:b w:val="false"/>
          <w:i w:val="false"/>
          <w:caps w:val="false"/>
          <w:smallCaps w:val="false"/>
          <w:sz w:val="20"/>
        </w:rPr>
        <w:t>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569" w:name="xdx_90D_eus-gaap--CommonStockSharesAutho"/>
      <w:bookmarkEnd w:id="569"/>
      <w:r>
        <w:rPr>
          <w:rFonts w:ascii="Times New Roman;Times;Serif" w:hAnsi="Times New Roman;Times;Serif"/>
          <w:b w:val="false"/>
          <w:i w:val="false"/>
          <w:caps w:val="false"/>
          <w:smallCaps w:val="false"/>
          <w:sz w:val="20"/>
        </w:rPr>
        <w:t>500,000,000 shares of $</w:t>
      </w:r>
      <w:bookmarkStart w:id="570" w:name="xdx_90B_eus-gaap--CommonStockParOrStated"/>
      <w:bookmarkEnd w:id="570"/>
      <w:r>
        <w:rPr>
          <w:rFonts w:ascii="Times New Roman;Times;Serif" w:hAnsi="Times New Roman;Times;Serif"/>
          <w:b w:val="false"/>
          <w:i w:val="false"/>
          <w:caps w:val="false"/>
          <w:smallCaps w:val="false"/>
          <w:sz w:val="20"/>
        </w:rPr>
        <w:t xml:space="preserve">0.001 par value common stock. As of December 31, 2025 and 2024, the Company had </w:t>
      </w:r>
      <w:bookmarkStart w:id="571" w:name="xdx_901_eus-gaap--CommonStockSharesOutst"/>
      <w:bookmarkStart w:id="572" w:name="xdx_901_eus-gaap--CommonStockSharesIssue"/>
      <w:bookmarkEnd w:id="571"/>
      <w:bookmarkEnd w:id="572"/>
      <w:r>
        <w:rPr>
          <w:rFonts w:ascii="Times New Roman;Times;Serif" w:hAnsi="Times New Roman;Times;Serif"/>
          <w:b w:val="false"/>
          <w:i w:val="false"/>
          <w:caps w:val="false"/>
          <w:smallCaps w:val="false"/>
          <w:sz w:val="20"/>
        </w:rPr>
        <w:t xml:space="preserve">49,805,275 and </w:t>
      </w:r>
      <w:bookmarkStart w:id="573" w:name="xdx_900_eus-gaap--CommonStockSharesOutst"/>
      <w:bookmarkStart w:id="574" w:name="xdx_90C_eus-gaap--CommonStockSharesIssue"/>
      <w:bookmarkEnd w:id="573"/>
      <w:bookmarkEnd w:id="574"/>
      <w:r>
        <w:rPr>
          <w:rFonts w:ascii="Times New Roman;Times;Serif" w:hAnsi="Times New Roman;Times;Serif"/>
          <w:b w:val="false"/>
          <w:i w:val="false"/>
          <w:caps w:val="false"/>
          <w:smallCaps w:val="false"/>
          <w:sz w:val="20"/>
        </w:rPr>
        <w:t>17,239,096 shares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31, 2024, the Company filed a Reverse Stock Split Amendment with the Secretary of State of the State of Delaware, effective February 2, 2024. Pursuant to the Reverse Stock Split Amendment, the Company effected a </w:t>
      </w:r>
      <w:bookmarkStart w:id="575" w:name="xdx_908_eus-gaap--StockholdersEquityReve"/>
      <w:bookmarkEnd w:id="575"/>
      <w:r>
        <w:rPr>
          <w:rFonts w:ascii="Times New Roman;Times;Serif" w:hAnsi="Times New Roman;Times;Serif"/>
          <w:b w:val="false"/>
          <w:i w:val="false"/>
          <w:caps w:val="false"/>
          <w:smallCaps w:val="false"/>
          <w:sz w:val="20"/>
        </w:rPr>
        <w:t>1-for-10 reverse stock split of its issued and outstanding shares of common stock. The Company accounted for the reverse stock split on a retrospective basis pursuant to ASC 260, Earnings Per Share. All authorized, issued and outstanding common stock, common stock warrants, stock option awards, exercise prices and per share data have been adjusted in these consolidated financial statements, on a retroactive basis, to reflect the reverse stock split for all periods presented. Authorized common and preferred stock was not adjusted because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 2025, the Company cancelled an aggregate of </w:t>
      </w:r>
      <w:bookmarkStart w:id="576" w:name="xdx_901_eus-gaap--StockIssuedDuringPerio"/>
      <w:bookmarkEnd w:id="576"/>
      <w:r>
        <w:rPr>
          <w:rFonts w:ascii="Times New Roman;Times;Serif" w:hAnsi="Times New Roman;Times;Serif"/>
          <w:b w:val="false"/>
          <w:i w:val="false"/>
          <w:caps w:val="false"/>
          <w:smallCaps w:val="false"/>
          <w:sz w:val="20"/>
        </w:rPr>
        <w:t xml:space="preserve">272,399 shares of its common stock, consisting of </w:t>
      </w:r>
      <w:bookmarkStart w:id="577" w:name="xdx_903_ecustom--StockIssuedDuringPeriod"/>
      <w:bookmarkEnd w:id="577"/>
      <w:r>
        <w:rPr>
          <w:rFonts w:ascii="Times New Roman;Times;Serif" w:hAnsi="Times New Roman;Times;Serif"/>
          <w:b w:val="false"/>
          <w:i w:val="false"/>
          <w:caps w:val="false"/>
          <w:smallCaps w:val="false"/>
          <w:sz w:val="20"/>
        </w:rPr>
        <w:t xml:space="preserve">158,096 shares returned by the Company’s former Chief Executive Officer, Kenneth Londoner, and </w:t>
      </w:r>
      <w:bookmarkStart w:id="578" w:name="xdx_90F_ecustom--StockIssuedDuringPeriod"/>
      <w:bookmarkEnd w:id="578"/>
      <w:r>
        <w:rPr>
          <w:rFonts w:ascii="Times New Roman;Times;Serif" w:hAnsi="Times New Roman;Times;Serif"/>
          <w:b w:val="false"/>
          <w:i w:val="false"/>
          <w:caps w:val="false"/>
          <w:smallCaps w:val="false"/>
          <w:sz w:val="20"/>
        </w:rPr>
        <w:t>114,303 shares returned by Endicott Management Partners LLC, an entity affiliated with Mr. Londoner. All cancelled shares were surrendered to the Company and retired, resulting in a reduction to the total number of issued and outstanding shares.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ExchangeCo issued Exchangeable Shares that are exchangeable into the Company’s common stock and include economic rights that are substantially similar to the Company’s common stock, including rights to dividends, liquidation preferences, and voting (via a Special Voting Preferred Stock held by a trustee). Prior to the receipt of stockholder approval, certain rights associated with the Exchangeable Shares were subject to exercise contingencies, including (i) the ability to exchange into more than 19.99% of the Company’s outstanding common stock (the “NASDAQ 19.99% limitation”) and (ii) the receipt of special voting rights. In addition, the Exchange Ratio was subject to adjustment from 1.00 to 1.25 shares of the Company’s common stock for each Exchangeable Share if stockholder approval was not obtained within six months of issuance. These features, taken together, precluded equity classification under ASC 815-40 and resulted in the Exchangeable Shares being initially classified as a derivative liability under ASC 815 and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Exchangeable Shares issued in connection with the Acquisition, see Note 11, Business Acquisition. For related fair value measurement disclosures, including the applicable fair value hierarchy classification, see Note 12, Fair Value Measurements. For an overview of the Company’s derivative financial instruments and related disclosures required by ASC 815, see Note 17, Derivative Financial Instruments and Hedging Activities.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Exchangeable Shares were initially recognized as a derivative liability at fair value, measured at $</w:t>
      </w:r>
      <w:bookmarkStart w:id="579" w:name="xdx_90B_eus-gaap--DerivativeFairValueOfD"/>
      <w:bookmarkEnd w:id="579"/>
      <w:r>
        <w:rPr>
          <w:rFonts w:ascii="Times New Roman;Times;Serif" w:hAnsi="Times New Roman;Times;Serif"/>
          <w:b w:val="false"/>
          <w:i w:val="false"/>
          <w:caps w:val="false"/>
          <w:smallCaps w:val="false"/>
          <w:sz w:val="20"/>
        </w:rPr>
        <w:t>105.5 million as of the acquisition date. They were remeasured at fair value through earnings each reporting period for as long as the exercise contingencies—including the NASDAQ 19.99% limitation and the requirement for shareholder approval—remained unresolved. On November 4, 2025 the Company received shareholder approval. As a result, the conversion cap was removed, and Streamex Exchange shareholders may now convert their Exchangeable Shares into the Company’s common stock. Concurrently, the derivative liability associated with the Exchangeable Shares was reclassified to permanent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certain investors converted exchangeable shares into </w:t>
      </w:r>
      <w:bookmarkStart w:id="580" w:name="xdx_908_eus-gaap--ConversionOfStockShare"/>
      <w:bookmarkEnd w:id="580"/>
      <w:r>
        <w:rPr>
          <w:rFonts w:ascii="Times New Roman;Times;Serif" w:hAnsi="Times New Roman;Times;Serif"/>
          <w:b w:val="false"/>
          <w:i w:val="false"/>
          <w:caps w:val="false"/>
          <w:smallCaps w:val="false"/>
          <w:sz w:val="20"/>
        </w:rPr>
        <w:t xml:space="preserve">1,078,108 shares of common stock. As of December 31, 2025, the Company had </w:t>
      </w:r>
      <w:bookmarkStart w:id="581" w:name="xdx_906_eus-gaap--ConversionOfStockShare"/>
      <w:bookmarkEnd w:id="581"/>
      <w:r>
        <w:rPr>
          <w:rFonts w:ascii="Times New Roman;Times;Serif" w:hAnsi="Times New Roman;Times;Serif"/>
          <w:b w:val="false"/>
          <w:i w:val="false"/>
          <w:caps w:val="false"/>
          <w:smallCaps w:val="false"/>
          <w:sz w:val="20"/>
        </w:rPr>
        <w:t>107,991,931 Exchangeable Shares outstanding that are convertible into the same number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12, 2024, the Company entered into a securities purchase agreement with certain accredited and institutional investors, pursuant to which the Company sold to the investors an aggregate of </w:t>
      </w:r>
      <w:bookmarkStart w:id="582" w:name="xdx_906_eus-gaap--SaleOfStockNumberOfSha"/>
      <w:bookmarkEnd w:id="582"/>
      <w:r>
        <w:rPr>
          <w:rFonts w:ascii="Times New Roman;Times;Serif" w:hAnsi="Times New Roman;Times;Serif"/>
          <w:b w:val="false"/>
          <w:i w:val="false"/>
          <w:caps w:val="false"/>
          <w:smallCaps w:val="false"/>
          <w:sz w:val="20"/>
        </w:rPr>
        <w:t xml:space="preserve">260,720 shares of the Company’s common stock and warrants to purchase up to </w:t>
      </w:r>
      <w:bookmarkStart w:id="583" w:name="xdx_90A_eus-gaap--ClassOfWarrantOrRightN"/>
      <w:bookmarkEnd w:id="583"/>
      <w:r>
        <w:rPr>
          <w:rFonts w:ascii="Times New Roman;Times;Serif" w:hAnsi="Times New Roman;Times;Serif"/>
          <w:b w:val="false"/>
          <w:i w:val="false"/>
          <w:caps w:val="false"/>
          <w:smallCaps w:val="false"/>
          <w:sz w:val="20"/>
        </w:rPr>
        <w:t>130,363 shares of common stock, at a purchase price of $</w:t>
      </w:r>
      <w:bookmarkStart w:id="584" w:name="xdx_90C_eus-gaap--SharePrice_iI_pid_c202"/>
      <w:bookmarkEnd w:id="584"/>
      <w:r>
        <w:rPr>
          <w:rFonts w:ascii="Times New Roman;Times;Serif" w:hAnsi="Times New Roman;Times;Serif"/>
          <w:b w:val="false"/>
          <w:i w:val="false"/>
          <w:caps w:val="false"/>
          <w:smallCaps w:val="false"/>
          <w:sz w:val="20"/>
        </w:rPr>
        <w:t>3.989 per share and a warrant to purchase one-half of a share. The warrants have an exercise price of $</w:t>
      </w:r>
      <w:bookmarkStart w:id="585" w:name="xdx_904_eus-gaap--ClassOfWarrantOrRightE"/>
      <w:bookmarkEnd w:id="585"/>
      <w:r>
        <w:rPr>
          <w:rFonts w:ascii="Times New Roman;Times;Serif" w:hAnsi="Times New Roman;Times;Serif"/>
          <w:b w:val="false"/>
          <w:i w:val="false"/>
          <w:caps w:val="false"/>
          <w:smallCaps w:val="false"/>
          <w:sz w:val="20"/>
        </w:rPr>
        <w:t>3.364 per share, will become exercisable six months after the date of issuance and will expire five and one-half years following the date of issuance. The gross proceeds from this offering were $</w:t>
      </w:r>
      <w:bookmarkStart w:id="586" w:name="xdx_90B_eus-gaap--SaleOfStockConsiderati"/>
      <w:bookmarkEnd w:id="586"/>
      <w:r>
        <w:rPr>
          <w:rFonts w:ascii="Times New Roman;Times;Serif" w:hAnsi="Times New Roman;Times;Serif"/>
          <w:b w:val="false"/>
          <w:i w:val="false"/>
          <w:caps w:val="false"/>
          <w:smallCaps w:val="false"/>
          <w:sz w:val="20"/>
        </w:rPr>
        <w:t>1.0 million.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2024, the Company entered into a securities purchase agreement with certain accredited investors, pursuant to which the Company sold to the investors an aggregate of </w:t>
      </w:r>
      <w:bookmarkStart w:id="587" w:name="xdx_906_eus-gaap--SaleOfStockNumberOfSha"/>
      <w:bookmarkEnd w:id="587"/>
      <w:r>
        <w:rPr>
          <w:rFonts w:ascii="Times New Roman;Times;Serif" w:hAnsi="Times New Roman;Times;Serif"/>
          <w:b w:val="false"/>
          <w:i w:val="false"/>
          <w:caps w:val="false"/>
          <w:smallCaps w:val="false"/>
          <w:sz w:val="20"/>
        </w:rPr>
        <w:t xml:space="preserve">783,406 shares of the Company’s common stock and warrants to purchase up to </w:t>
      </w:r>
      <w:bookmarkStart w:id="588" w:name="xdx_901_eus-gaap--ClassOfWarrantOrRightN"/>
      <w:bookmarkEnd w:id="588"/>
      <w:r>
        <w:rPr>
          <w:rFonts w:ascii="Times New Roman;Times;Serif" w:hAnsi="Times New Roman;Times;Serif"/>
          <w:b w:val="false"/>
          <w:i w:val="false"/>
          <w:caps w:val="false"/>
          <w:smallCaps w:val="false"/>
          <w:sz w:val="20"/>
        </w:rPr>
        <w:t>391,703 shares of common stock, at a purchase price of $</w:t>
      </w:r>
      <w:bookmarkStart w:id="589" w:name="xdx_90E_eus-gaap--SaleOfStockPricePerSha"/>
      <w:bookmarkEnd w:id="589"/>
      <w:r>
        <w:rPr>
          <w:rFonts w:ascii="Times New Roman;Times;Serif" w:hAnsi="Times New Roman;Times;Serif"/>
          <w:b w:val="false"/>
          <w:i w:val="false"/>
          <w:caps w:val="false"/>
          <w:smallCaps w:val="false"/>
          <w:sz w:val="20"/>
        </w:rPr>
        <w:t>1.4605 per share and a warrant to purchase one-half of a share. The warrants have an exercise price of $</w:t>
      </w:r>
      <w:bookmarkStart w:id="590" w:name="xdx_90C_eus-gaap--ClassOfWarrantOrRightE"/>
      <w:bookmarkEnd w:id="590"/>
      <w:r>
        <w:rPr>
          <w:rFonts w:ascii="Times New Roman;Times;Serif" w:hAnsi="Times New Roman;Times;Serif"/>
          <w:b w:val="false"/>
          <w:i w:val="false"/>
          <w:caps w:val="false"/>
          <w:smallCaps w:val="false"/>
          <w:sz w:val="20"/>
        </w:rPr>
        <w:t>1.398 per share, will become exercisable six months after the date of issuance, and will expire five and one-half years following the date of issuance. The gross proceeds from this offering were approximately $</w:t>
      </w:r>
      <w:bookmarkStart w:id="591" w:name="xdx_90B_eus-gaap--SaleOfStockConsiderati"/>
      <w:bookmarkEnd w:id="591"/>
      <w:r>
        <w:rPr>
          <w:rFonts w:ascii="Times New Roman;Times;Serif" w:hAnsi="Times New Roman;Times;Serif"/>
          <w:b w:val="false"/>
          <w:i w:val="false"/>
          <w:caps w:val="false"/>
          <w:smallCaps w:val="false"/>
          <w:sz w:val="20"/>
        </w:rPr>
        <w:t>1.1 million, including $</w:t>
      </w:r>
      <w:bookmarkStart w:id="592" w:name="xdx_90A_eus-gaap--Cash_iI_pn3n3_c2024050"/>
      <w:bookmarkEnd w:id="592"/>
      <w:r>
        <w:rPr>
          <w:rFonts w:ascii="Times New Roman;Times;Serif" w:hAnsi="Times New Roman;Times;Serif"/>
          <w:b w:val="false"/>
          <w:i w:val="false"/>
          <w:caps w:val="false"/>
          <w:smallCaps w:val="false"/>
          <w:sz w:val="20"/>
        </w:rPr>
        <w:t>635 in cash and $</w:t>
      </w:r>
      <w:bookmarkStart w:id="593" w:name="xdx_90C_eus-gaap--DebtInstrumentIncrease"/>
      <w:bookmarkEnd w:id="593"/>
      <w:r>
        <w:rPr>
          <w:rFonts w:ascii="Times New Roman;Times;Serif" w:hAnsi="Times New Roman;Times;Serif"/>
          <w:b w:val="false"/>
          <w:i w:val="false"/>
          <w:caps w:val="false"/>
          <w:smallCaps w:val="false"/>
          <w:sz w:val="20"/>
        </w:rPr>
        <w:t>509 representing conversion of the principal balance of and accrued interest on the previously issued related party note payable. The note was not convertible by its terms, but the holder has agreed to convert it into shares of common stock and warrants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29, 2024, the Company entered into a securities purchase agreement with certain institutional investors, pursuant to which the Company agreed to sell and issue to the investors (i) in a registered direct offering, </w:t>
      </w:r>
      <w:bookmarkStart w:id="594" w:name="xdx_909_eus-gaap--SaleOfStockNumberOfSha"/>
      <w:bookmarkEnd w:id="594"/>
      <w:r>
        <w:rPr>
          <w:rFonts w:ascii="Times New Roman;Times;Serif" w:hAnsi="Times New Roman;Times;Serif"/>
          <w:b w:val="false"/>
          <w:i w:val="false"/>
          <w:caps w:val="false"/>
          <w:smallCaps w:val="false"/>
          <w:sz w:val="20"/>
        </w:rPr>
        <w:t>1,570,683 shares of Common Stock, par value $</w:t>
      </w:r>
      <w:bookmarkStart w:id="595" w:name="xdx_90E_eus-gaap--CommonStockParOrStated"/>
      <w:bookmarkEnd w:id="595"/>
      <w:r>
        <w:rPr>
          <w:rFonts w:ascii="Times New Roman;Times;Serif" w:hAnsi="Times New Roman;Times;Serif"/>
          <w:b w:val="false"/>
          <w:i w:val="false"/>
          <w:caps w:val="false"/>
          <w:smallCaps w:val="false"/>
          <w:sz w:val="20"/>
        </w:rPr>
        <w:t>0.001 per share of the Company at a price of $</w:t>
      </w:r>
      <w:bookmarkStart w:id="596" w:name="xdx_901_eus-gaap--SharesIssuedPricePerSh"/>
      <w:bookmarkEnd w:id="596"/>
      <w:r>
        <w:rPr>
          <w:rFonts w:ascii="Times New Roman;Times;Serif" w:hAnsi="Times New Roman;Times;Serif"/>
          <w:b w:val="false"/>
          <w:i w:val="false"/>
          <w:caps w:val="false"/>
          <w:smallCaps w:val="false"/>
          <w:sz w:val="20"/>
        </w:rPr>
        <w:t xml:space="preserve">1.91 per share and (ii) in a concurrent private placement, common stock purchase warrants to purchase up to an aggregate of </w:t>
      </w:r>
      <w:bookmarkStart w:id="597" w:name="xdx_909_eus-gaap--SaleOfStockNumberOfSha"/>
      <w:bookmarkEnd w:id="597"/>
      <w:r>
        <w:rPr>
          <w:rFonts w:ascii="Times New Roman;Times;Serif" w:hAnsi="Times New Roman;Times;Serif"/>
          <w:b w:val="false"/>
          <w:i w:val="false"/>
          <w:caps w:val="false"/>
          <w:smallCaps w:val="false"/>
          <w:sz w:val="20"/>
        </w:rPr>
        <w:t>1,570,683 shares of Common Stock, at an exercise price of $</w:t>
      </w:r>
      <w:bookmarkStart w:id="598" w:name="xdx_905_eus-gaap--SaleOfStockPricePerSha"/>
      <w:bookmarkEnd w:id="598"/>
      <w:r>
        <w:rPr>
          <w:rFonts w:ascii="Times New Roman;Times;Serif" w:hAnsi="Times New Roman;Times;Serif"/>
          <w:b w:val="false"/>
          <w:i w:val="false"/>
          <w:caps w:val="false"/>
          <w:smallCaps w:val="false"/>
          <w:sz w:val="20"/>
        </w:rPr>
        <w:t xml:space="preserve">1.78 per share of Common Stock. In connections with the Offering, the Company issued </w:t>
      </w:r>
      <w:bookmarkStart w:id="599" w:name="xdx_90D_eus-gaap--ClassOfWarrantOrRightO"/>
      <w:bookmarkEnd w:id="599"/>
      <w:r>
        <w:rPr>
          <w:rFonts w:ascii="Times New Roman;Times;Serif" w:hAnsi="Times New Roman;Times;Serif"/>
          <w:b w:val="false"/>
          <w:i w:val="false"/>
          <w:caps w:val="false"/>
          <w:smallCaps w:val="false"/>
          <w:sz w:val="20"/>
        </w:rPr>
        <w:t>109,948 warrants to its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5, 2025, the Company entered into a securities purchase agreement with certain accredited investors pursuant to which the Company sold to the Investors an aggregate of </w:t>
      </w:r>
      <w:bookmarkStart w:id="600" w:name="xdx_909_eus-gaap--StockIssuedDuringPerio"/>
      <w:bookmarkEnd w:id="600"/>
      <w:r>
        <w:rPr>
          <w:rFonts w:ascii="Times New Roman;Times;Serif" w:hAnsi="Times New Roman;Times;Serif"/>
          <w:b w:val="false"/>
          <w:i w:val="false"/>
          <w:caps w:val="false"/>
          <w:smallCaps w:val="false"/>
          <w:sz w:val="20"/>
        </w:rPr>
        <w:t>758,514 shares Common Stock at a purchase price of $</w:t>
      </w:r>
      <w:bookmarkStart w:id="601" w:name="xdx_90E_eus-gaap--SharesIssuedPricePerSh"/>
      <w:bookmarkEnd w:id="601"/>
      <w:r>
        <w:rPr>
          <w:rFonts w:ascii="Times New Roman;Times;Serif" w:hAnsi="Times New Roman;Times;Serif"/>
          <w:b w:val="false"/>
          <w:i w:val="false"/>
          <w:caps w:val="false"/>
          <w:smallCaps w:val="false"/>
          <w:sz w:val="20"/>
        </w:rPr>
        <w:t xml:space="preserve">1.07974 per share, and warrants to purchase up to </w:t>
      </w:r>
      <w:bookmarkStart w:id="602" w:name="xdx_90E_eus-gaap--ClassOfWarrantOrRightO"/>
      <w:bookmarkEnd w:id="602"/>
      <w:r>
        <w:rPr>
          <w:rFonts w:ascii="Times New Roman;Times;Serif" w:hAnsi="Times New Roman;Times;Serif"/>
          <w:b w:val="false"/>
          <w:i w:val="false"/>
          <w:caps w:val="false"/>
          <w:smallCaps w:val="false"/>
          <w:sz w:val="20"/>
        </w:rPr>
        <w:t>758,514 shares of Common Stock at an exercise price of $</w:t>
      </w:r>
      <w:bookmarkStart w:id="603" w:name="xdx_90E_eus-gaap--ClassOfWarrantOrRightE"/>
      <w:bookmarkEnd w:id="603"/>
      <w:r>
        <w:rPr>
          <w:rFonts w:ascii="Times New Roman;Times;Serif" w:hAnsi="Times New Roman;Times;Serif"/>
          <w:b w:val="false"/>
          <w:i w:val="false"/>
          <w:caps w:val="false"/>
          <w:smallCaps w:val="false"/>
          <w:sz w:val="20"/>
        </w:rPr>
        <w:t>0.95474 per share, that will become exercisable six months after the date of issuance and will expire three and one-half years following the date of issuance, in exchange for aggregate consideration of $</w:t>
      </w:r>
      <w:bookmarkStart w:id="604" w:name="xdx_906_eus-gaap--ProceedsFromIssuanceOr"/>
      <w:bookmarkEnd w:id="604"/>
      <w:r>
        <w:rPr>
          <w:rFonts w:ascii="Times New Roman;Times;Serif" w:hAnsi="Times New Roman;Times;Serif"/>
          <w:b w:val="false"/>
          <w:i w:val="false"/>
          <w:caps w:val="false"/>
          <w:smallCaps w:val="false"/>
          <w:sz w:val="20"/>
        </w:rPr>
        <w:t>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2025, the Company entered into an underwriting agreement Clear Street LLC and Needham &amp; Company, LLC as underwriters, pursuant to which the Company sold an aggregate of </w:t>
      </w:r>
      <w:bookmarkStart w:id="605" w:name="xdx_905_eus-gaap--StockIssuedDuringPerio"/>
      <w:bookmarkEnd w:id="605"/>
      <w:r>
        <w:rPr>
          <w:rFonts w:ascii="Times New Roman;Times;Serif" w:hAnsi="Times New Roman;Times;Serif"/>
          <w:b w:val="false"/>
          <w:i w:val="false"/>
          <w:caps w:val="false"/>
          <w:smallCaps w:val="false"/>
          <w:sz w:val="20"/>
        </w:rPr>
        <w:t>3,852,149 shares of its common stock at a public offering price of $</w:t>
      </w:r>
      <w:bookmarkStart w:id="606" w:name="xdx_904_eus-gaap--SharesIssuedPricePerSh"/>
      <w:bookmarkEnd w:id="606"/>
      <w:r>
        <w:rPr>
          <w:rFonts w:ascii="Times New Roman;Times;Serif" w:hAnsi="Times New Roman;Times;Serif"/>
          <w:b w:val="false"/>
          <w:i w:val="false"/>
          <w:caps w:val="false"/>
          <w:smallCaps w:val="false"/>
          <w:sz w:val="20"/>
        </w:rPr>
        <w:t>3.90 per share. The offering closed on August 15, 2025, resulting in gross proceeds of approximately $</w:t>
      </w:r>
      <w:bookmarkStart w:id="607" w:name="xdx_900_eus-gaap--ProceedsFromOtherEquit"/>
      <w:bookmarkEnd w:id="607"/>
      <w:r>
        <w:rPr>
          <w:rFonts w:ascii="Times New Roman;Times;Serif" w:hAnsi="Times New Roman;Times;Serif"/>
          <w:b w:val="false"/>
          <w:i w:val="false"/>
          <w:caps w:val="false"/>
          <w:smallCaps w:val="false"/>
          <w:sz w:val="20"/>
        </w:rPr>
        <w:t>15.0 million. The Company incurred transaction costs of approximately $</w:t>
      </w:r>
      <w:bookmarkStart w:id="608" w:name="xdx_909_eus-gaap--OtherSellingGeneralAnd"/>
      <w:bookmarkEnd w:id="608"/>
      <w:r>
        <w:rPr>
          <w:rFonts w:ascii="Times New Roman;Times;Serif" w:hAnsi="Times New Roman;Times;Serif"/>
          <w:b w:val="false"/>
          <w:i w:val="false"/>
          <w:caps w:val="false"/>
          <w:smallCaps w:val="false"/>
          <w:sz w:val="20"/>
        </w:rPr>
        <w:t>1.45 million, including underwriting discounts, commissions, and other offering expenses, resulting in net proceeds of approximately $</w:t>
      </w:r>
      <w:bookmarkStart w:id="609" w:name="xdx_902_eus-gaap--ProceedsFromDebtNetOfI"/>
      <w:bookmarkEnd w:id="609"/>
      <w:r>
        <w:rPr>
          <w:rFonts w:ascii="Times New Roman;Times;Serif" w:hAnsi="Times New Roman;Times;Serif"/>
          <w:b w:val="false"/>
          <w:i w:val="false"/>
          <w:caps w:val="false"/>
          <w:smallCaps w:val="false"/>
          <w:sz w:val="20"/>
        </w:rPr>
        <w:t>13.6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Finder’s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Streamex Exchange acquisition, in December 2025 the Company issued an aggregate of</w:t>
      </w:r>
      <w:bookmarkStart w:id="610" w:name="xdx_90C_eus-gaap--StockIssuedDuringPerio"/>
      <w:bookmarkEnd w:id="610"/>
      <w:r>
        <w:rPr>
          <w:rFonts w:ascii="Times New Roman;Times;Serif" w:hAnsi="Times New Roman;Times;Serif"/>
          <w:b w:val="false"/>
          <w:i w:val="false"/>
          <w:caps w:val="false"/>
          <w:smallCaps w:val="false"/>
          <w:sz w:val="20"/>
        </w:rPr>
        <w:t xml:space="preserve"> 824,052 shares of common stock to two third-party advisors as finder’s fees, with a total fair value of approximately $</w:t>
      </w:r>
      <w:bookmarkStart w:id="611" w:name="xdx_90F_eus-gaap--FeeIncome_pn4n6_c20250"/>
      <w:bookmarkEnd w:id="611"/>
      <w:r>
        <w:rPr>
          <w:rFonts w:ascii="Times New Roman;Times;Serif" w:hAnsi="Times New Roman;Times;Serif"/>
          <w:b w:val="false"/>
          <w:i w:val="false"/>
          <w:caps w:val="false"/>
          <w:smallCaps w:val="false"/>
          <w:sz w:val="20"/>
        </w:rPr>
        <w:t>4.82 million, which was included in stock-based compensation expense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Issued for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an aggregate of </w:t>
      </w:r>
      <w:bookmarkStart w:id="612" w:name="xdx_906_eus-gaap--StockIssuedDuringPerio"/>
      <w:bookmarkEnd w:id="612"/>
      <w:r>
        <w:rPr>
          <w:rFonts w:ascii="Times New Roman;Times;Serif" w:hAnsi="Times New Roman;Times;Serif"/>
          <w:b w:val="false"/>
          <w:i w:val="false"/>
          <w:caps w:val="false"/>
          <w:smallCaps w:val="false"/>
          <w:sz w:val="20"/>
        </w:rPr>
        <w:t>3,538,762 shares of its common stock to two third-party consultants in exchange for services to be provided over a one-year contractual term. The aggregate grant-date fair value of the common stock issued was approximately $</w:t>
      </w:r>
      <w:bookmarkStart w:id="613" w:name="xdx_90C_eus-gaap--StockGrantedDuringPeri"/>
      <w:bookmarkEnd w:id="613"/>
      <w:r>
        <w:rPr>
          <w:rFonts w:ascii="Times New Roman;Times;Serif" w:hAnsi="Times New Roman;Times;Serif"/>
          <w:b w:val="false"/>
          <w:i w:val="false"/>
          <w:caps w:val="false"/>
          <w:smallCaps w:val="false"/>
          <w:sz w:val="20"/>
        </w:rPr>
        <w:t>15.9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this amount, approximately $</w:t>
      </w:r>
      <w:bookmarkStart w:id="614" w:name="xdx_90C_eus-gaap--ShareBasedCompensation"/>
      <w:bookmarkEnd w:id="614"/>
      <w:r>
        <w:rPr>
          <w:rFonts w:ascii="Times New Roman;Times;Serif" w:hAnsi="Times New Roman;Times;Serif"/>
          <w:b w:val="false"/>
          <w:i w:val="false"/>
          <w:caps w:val="false"/>
          <w:smallCaps w:val="false"/>
          <w:sz w:val="20"/>
        </w:rPr>
        <w:t>869 was recognized as stock-based compensation expense during the year ended December 31, 2025, with the remaining unamortized balance recorded in prepaid expenses and other assets and amortized to stock-based compensation expense over the remaining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Sales Agreement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the Company entered into an At The Market Offering Agreement (the “Sales Agreement”) with H.C. Wainwright &amp; Co., LLC, as sales agent or principal (the “Agent”), pursuant to which the Company may offer and sell, from time to time in transactions that are deemed to be “at the market” offerings as defined in Rule 415 under the Securities Act of 1933, as amended (the “Securities Act”), the Company’s common stock, par value $</w:t>
      </w:r>
      <w:bookmarkStart w:id="615" w:name="xdx_907_eus-gaap--CommonStockParOrStated"/>
      <w:bookmarkEnd w:id="615"/>
      <w:r>
        <w:rPr>
          <w:rFonts w:ascii="Times New Roman;Times;Serif" w:hAnsi="Times New Roman;Times;Serif"/>
          <w:b w:val="false"/>
          <w:i w:val="false"/>
          <w:caps w:val="false"/>
          <w:smallCaps w:val="false"/>
          <w:sz w:val="20"/>
        </w:rPr>
        <w:t>0.001 per share (“common stock”), through or to the Agent (the “ATM Offering”). The Sales Agreement, among other things, provides for the issuance and sale of up to an aggregate of $</w:t>
      </w:r>
      <w:bookmarkStart w:id="616" w:name="xdx_900_eus-gaap--PaymentsOfStockIssuanc"/>
      <w:bookmarkEnd w:id="616"/>
      <w:r>
        <w:rPr>
          <w:rFonts w:ascii="Times New Roman;Times;Serif" w:hAnsi="Times New Roman;Times;Serif"/>
          <w:b w:val="false"/>
          <w:i w:val="false"/>
          <w:caps w:val="false"/>
          <w:smallCaps w:val="false"/>
          <w:sz w:val="20"/>
        </w:rPr>
        <w:t>8.5 million of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offered and sold pursuant to the Company’s shelf registration statement on Form S-3 (File No. 333-276298) and an accompanying prospectus filed by the Company with the U.S. Securities and Exchange Commission (“SEC”) on December 28, 2023, as amended on January 5, 2024 and December 9, 2024, and declared effective by the SEC on December 17, 2024 (the “Registration Statement”) and pursuant to a prospectus supplement dated December 18,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sold an aggregate of </w:t>
      </w:r>
      <w:bookmarkStart w:id="617" w:name="xdx_908_eus-gaap--StockIssuedDuringPerio"/>
      <w:bookmarkEnd w:id="617"/>
      <w:r>
        <w:rPr>
          <w:rFonts w:ascii="Times New Roman;Times;Serif" w:hAnsi="Times New Roman;Times;Serif"/>
          <w:b w:val="false"/>
          <w:i w:val="false"/>
          <w:caps w:val="false"/>
          <w:smallCaps w:val="false"/>
          <w:sz w:val="20"/>
        </w:rPr>
        <w:t>4,403,166 shares through the Company’s at the market offering agreement for gross proceeds of $</w:t>
      </w:r>
      <w:bookmarkStart w:id="618" w:name="xdx_905_eus-gaap--ProceedsFromIssuanceOr"/>
      <w:bookmarkEnd w:id="618"/>
      <w:r>
        <w:rPr>
          <w:rFonts w:ascii="Times New Roman;Times;Serif" w:hAnsi="Times New Roman;Times;Serif"/>
          <w:b w:val="false"/>
          <w:i w:val="false"/>
          <w:caps w:val="false"/>
          <w:smallCaps w:val="false"/>
          <w:sz w:val="20"/>
        </w:rPr>
        <w:t>4.0 million, or $</w:t>
      </w:r>
      <w:bookmarkStart w:id="619" w:name="xdx_909_eus-gaap--SaleOfStockConsiderati"/>
      <w:bookmarkEnd w:id="619"/>
      <w:r>
        <w:rPr>
          <w:rFonts w:ascii="Times New Roman;Times;Serif" w:hAnsi="Times New Roman;Times;Serif"/>
          <w:b w:val="false"/>
          <w:i w:val="false"/>
          <w:caps w:val="false"/>
          <w:smallCaps w:val="false"/>
          <w:sz w:val="20"/>
        </w:rPr>
        <w:t>3.9 million net of fees of $</w:t>
      </w:r>
      <w:bookmarkStart w:id="620" w:name="xdx_904_eus-gaap--PaymentsForFees_pn3n3_"/>
      <w:bookmarkEnd w:id="620"/>
      <w:r>
        <w:rPr>
          <w:rFonts w:ascii="Times New Roman;Times;Serif" w:hAnsi="Times New Roman;Times;Serif"/>
          <w:b w:val="false"/>
          <w:i w:val="false"/>
          <w:caps w:val="false"/>
          <w:smallCaps w:val="false"/>
          <w:sz w:val="20"/>
        </w:rPr>
        <w:t>137.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“Effective Date”), the Company entered into a Equity Subscription Agreement (the “Subscription Agreement”) with Lind Global Fund III, LP (the “Investor”). Pursuant to the Subscription Agreement, the Company has the right, but not the obligation, to sell to the Investor from time to time (each such occurrence, an “Advance”) up to $</w:t>
      </w:r>
      <w:bookmarkStart w:id="621" w:name="xdx_908_eus-gaap--LongTermPurchaseCommit"/>
      <w:bookmarkEnd w:id="621"/>
      <w:r>
        <w:rPr>
          <w:rFonts w:ascii="Times New Roman;Times;Serif" w:hAnsi="Times New Roman;Times;Serif"/>
          <w:b w:val="false"/>
          <w:i w:val="false"/>
          <w:caps w:val="false"/>
          <w:smallCaps w:val="false"/>
          <w:sz w:val="20"/>
        </w:rPr>
        <w:t>5.0 million (the “Commitment Amount”) of the Company’s common stock, $</w:t>
      </w:r>
      <w:bookmarkStart w:id="622" w:name="xdx_90A_eus-gaap--CommonStockParOrStated"/>
      <w:bookmarkEnd w:id="622"/>
      <w:r>
        <w:rPr>
          <w:rFonts w:ascii="Times New Roman;Times;Serif" w:hAnsi="Times New Roman;Times;Serif"/>
          <w:b w:val="false"/>
          <w:i w:val="false"/>
          <w:caps w:val="false"/>
          <w:smallCaps w:val="false"/>
          <w:sz w:val="20"/>
        </w:rPr>
        <w:t xml:space="preserve">0.001 par value per share (“Common Stock”), during the 36 months following the execution of the Subscription Agreement, subject to (a) an overall cap of </w:t>
      </w:r>
      <w:bookmarkStart w:id="623" w:name="xdx_908_eus-gaap--SharesIssued_iI_pid_c2"/>
      <w:bookmarkEnd w:id="623"/>
      <w:r>
        <w:rPr>
          <w:rFonts w:ascii="Times New Roman;Times;Serif" w:hAnsi="Times New Roman;Times;Serif"/>
          <w:b w:val="false"/>
          <w:i w:val="false"/>
          <w:caps w:val="false"/>
          <w:smallCaps w:val="false"/>
          <w:sz w:val="20"/>
        </w:rPr>
        <w:t xml:space="preserve">10,000,000 shares and (b) the restrictions and satisfaction of the conditions set forth in the Subscription Agreement. The Company is under no obligation to sell any of its Common Stock to the Investor under the Subscription Agreement. At the Company’s option, the shares of Common Stock would be purchased by the Investor from time to time at a price (the “Market Price”) equal to </w:t>
      </w:r>
      <w:bookmarkStart w:id="624" w:name="xdx_90D_eus-gaap--SharebasedCompensation"/>
      <w:bookmarkEnd w:id="624"/>
      <w:r>
        <w:rPr>
          <w:rFonts w:ascii="Times New Roman;Times;Serif" w:hAnsi="Times New Roman;Times;Serif"/>
          <w:b w:val="false"/>
          <w:i w:val="false"/>
          <w:caps w:val="false"/>
          <w:smallCaps w:val="false"/>
          <w:sz w:val="20"/>
        </w:rPr>
        <w:t xml:space="preserve">95% of the lowest of the daily VWAPs (as hereinafter defined) during a five (or such other period as the Company and the Investor may agree) consecutive trading day period commencing on the date that the Company delivers a notice to the Investor (an “Advance Notice”) that the Company is requiring the Investor to purchase a specified number of shares of Common Stock (the “Advance Shares”). The Company may also specify a minimum acceptable price per share in each Advance. “VWAP” means, for any trading day, the daily volume weighted average price of the Company’s Common Stock for such trading day on the Nasdaq Stock Market as reported by Bloomberg L.P. The maximum number of shares of Common Stock that the Company may require the Investor to purchase in any Advance is an number equal to </w:t>
      </w:r>
      <w:bookmarkStart w:id="625" w:name="xdx_90A_eus-gaap--SharebasedCompensation"/>
      <w:bookmarkEnd w:id="625"/>
      <w:r>
        <w:rPr>
          <w:rFonts w:ascii="Times New Roman;Times;Serif" w:hAnsi="Times New Roman;Times;Serif"/>
          <w:b w:val="false"/>
          <w:i w:val="false"/>
          <w:caps w:val="false"/>
          <w:smallCaps w:val="false"/>
          <w:sz w:val="20"/>
        </w:rPr>
        <w:t>66.667% of the average daily volume of the Common Stock on the Nasdaq Stock Market during the five consecutive trading days immediately preceding the date of the Advance Notice; provided that notwithstanding the foregoing limitation, in any period of 30 consecutive days, the total number of Advance Shares that the Company may sell to the Investor may be up to</w:t>
      </w:r>
      <w:bookmarkStart w:id="626" w:name="xdx_90A_eus-gaap--LineOfCreditFacilityUn"/>
      <w:bookmarkEnd w:id="626"/>
      <w:r>
        <w:rPr>
          <w:rFonts w:ascii="Times New Roman;Times;Serif" w:hAnsi="Times New Roman;Times;Serif"/>
          <w:b w:val="false"/>
          <w:i w:val="false"/>
          <w:caps w:val="false"/>
          <w:smallCaps w:val="false"/>
          <w:sz w:val="20"/>
        </w:rPr>
        <w:t xml:space="preserve"> 0.5% of the quotient of the number of shares of Common Stock outstanding on the date of the Advance divided by the Market Price determined for such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for the Investor’s irrevocable commitment (subject to the conditions set forth in the Subscription Agreement) to purchase the Company’s Common Stock up to the Commitment Amount, the Company issued </w:t>
      </w:r>
      <w:bookmarkStart w:id="627" w:name="xdx_905_eus-gaap--ExcessStockSharesIssue"/>
      <w:bookmarkEnd w:id="627"/>
      <w:r>
        <w:rPr>
          <w:rFonts w:ascii="Times New Roman;Times;Serif" w:hAnsi="Times New Roman;Times;Serif"/>
          <w:b w:val="false"/>
          <w:i w:val="false"/>
          <w:caps w:val="false"/>
          <w:smallCaps w:val="false"/>
          <w:sz w:val="20"/>
        </w:rPr>
        <w:t>108,542 shares of Common Stock (the “Commitment Shares”) to the Investor with a grant date fair value of $</w:t>
      </w:r>
      <w:bookmarkStart w:id="628" w:name="xdx_906_eus-gaap--SharebasedCompensation"/>
      <w:bookmarkEnd w:id="628"/>
      <w:r>
        <w:rPr>
          <w:rFonts w:ascii="Times New Roman;Times;Serif" w:hAnsi="Times New Roman;Times;Serif"/>
          <w:b w:val="false"/>
          <w:i w:val="false"/>
          <w:caps w:val="false"/>
          <w:smallCaps w:val="false"/>
          <w:sz w:val="20"/>
        </w:rPr>
        <w:t>100. The Company had previously advanced to the Investor $</w:t>
      </w:r>
      <w:bookmarkStart w:id="629" w:name="xdx_900_eus-gaap--CommonStockShareSubscr"/>
      <w:bookmarkEnd w:id="629"/>
      <w:r>
        <w:rPr>
          <w:rFonts w:ascii="Times New Roman;Times;Serif" w:hAnsi="Times New Roman;Times;Serif"/>
          <w:b w:val="false"/>
          <w:i w:val="false"/>
          <w:caps w:val="false"/>
          <w:smallCaps w:val="false"/>
          <w:sz w:val="20"/>
        </w:rPr>
        <w:t>10 to cover certain expenses related to the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obligation to purchase the Company’s shares of Common Stock pursuant to the Subscription Agreement is subject to a number of conditions, including that the Company file a registration statement on Form S-1 or Form S-3 (the “Registration Statement”) with the Securities and Exchange Commission (the “SEC”), registering the issuance and sale of the Commitment Shares and the Advance Shares to be issued and sold pursuant to an Advance under the Securities Act of 1933, as amended (the “Securities Act”), and that the Registration Statement be declared effective by the SEC. The Company has not filed a registration statement on a Form S-1 or Form S-3 as of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0" w:name="xdx_80C_eus-gaap--ShareholdersEquityAndS"/>
      <w:bookmarkEnd w:id="630"/>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xml:space="preserve"> – </w:t>
      </w:r>
      <w:bookmarkStart w:id="631" w:name="xdx_82E_zLpmW3mihauh"/>
      <w:bookmarkEnd w:id="631"/>
      <w:r>
        <w:rPr>
          <w:rFonts w:ascii="Times New Roman;Times;Serif" w:hAnsi="Times New Roman;Times;Serif"/>
          <w:b/>
          <w:i w:val="false"/>
          <w:caps w:val="false"/>
          <w:smallCaps w:val="false"/>
          <w:sz w:val="20"/>
        </w:rPr>
        <w:t>OPTIONS, RESTRICTED STOCK UNITS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approved the Third Amendment to the Company’s 2023 Long-Term Incentive Plan on September 5, 2025, increasing the total number of shares authorized for issuance under the plan by </w:t>
      </w:r>
      <w:bookmarkStart w:id="632" w:name="xdx_90C_eus-gaap--StockIssuedDuringPerio"/>
      <w:bookmarkEnd w:id="632"/>
      <w:r>
        <w:rPr>
          <w:rFonts w:ascii="Times New Roman;Times;Serif" w:hAnsi="Times New Roman;Times;Serif"/>
          <w:b w:val="false"/>
          <w:i w:val="false"/>
          <w:caps w:val="false"/>
          <w:smallCaps w:val="false"/>
          <w:sz w:val="20"/>
        </w:rPr>
        <w:t xml:space="preserve">10,359,211 shares, from </w:t>
      </w:r>
      <w:bookmarkStart w:id="633" w:name="xdx_903_eus-gaap--CapitalUnitsAuthorized"/>
      <w:bookmarkEnd w:id="633"/>
      <w:r>
        <w:rPr>
          <w:rFonts w:ascii="Times New Roman;Times;Serif" w:hAnsi="Times New Roman;Times;Serif"/>
          <w:b w:val="false"/>
          <w:i w:val="false"/>
          <w:caps w:val="false"/>
          <w:smallCaps w:val="false"/>
          <w:sz w:val="20"/>
        </w:rPr>
        <w:t xml:space="preserve">4,376,595 shares to </w:t>
      </w:r>
      <w:bookmarkStart w:id="634" w:name="xdx_90A_eus-gaap--CapitalUnitsAuthorized"/>
      <w:bookmarkEnd w:id="634"/>
      <w:r>
        <w:rPr>
          <w:rFonts w:ascii="Times New Roman;Times;Serif" w:hAnsi="Times New Roman;Times;Serif"/>
          <w:b w:val="false"/>
          <w:i w:val="false"/>
          <w:caps w:val="false"/>
          <w:smallCaps w:val="false"/>
          <w:sz w:val="20"/>
        </w:rPr>
        <w:t>14,735,806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approved the Fourth Amendment to the Company’s 2023 Long-Term Incentive Plan on December 30, 2025, increasing the total number of shares authorized for issuance under the plan by </w:t>
      </w:r>
      <w:bookmarkStart w:id="635" w:name="xdx_901_eus-gaap--StockIssuedDuringPerio"/>
      <w:bookmarkEnd w:id="635"/>
      <w:r>
        <w:rPr>
          <w:rFonts w:ascii="Times New Roman;Times;Serif" w:hAnsi="Times New Roman;Times;Serif"/>
          <w:b w:val="false"/>
          <w:i w:val="false"/>
          <w:caps w:val="false"/>
          <w:smallCaps w:val="false"/>
          <w:sz w:val="20"/>
        </w:rPr>
        <w:t xml:space="preserve">22,494,324 shares, from </w:t>
      </w:r>
      <w:bookmarkStart w:id="636" w:name="xdx_904_eus-gaap--CapitalUnitsAuthorized"/>
      <w:bookmarkEnd w:id="636"/>
      <w:r>
        <w:rPr>
          <w:rFonts w:ascii="Times New Roman;Times;Serif" w:hAnsi="Times New Roman;Times;Serif"/>
          <w:b w:val="false"/>
          <w:i w:val="false"/>
          <w:caps w:val="false"/>
          <w:smallCaps w:val="false"/>
          <w:sz w:val="20"/>
        </w:rPr>
        <w:t xml:space="preserve">14,735,806 shares to </w:t>
      </w:r>
      <w:bookmarkStart w:id="637" w:name="xdx_908_eus-gaap--CapitalUnitsAuthorized"/>
      <w:bookmarkEnd w:id="637"/>
      <w:r>
        <w:rPr>
          <w:rFonts w:ascii="Times New Roman;Times;Serif" w:hAnsi="Times New Roman;Times;Serif"/>
          <w:b w:val="false"/>
          <w:i w:val="false"/>
          <w:caps w:val="false"/>
          <w:smallCaps w:val="false"/>
          <w:sz w:val="20"/>
        </w:rPr>
        <w:t>37,230,130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638" w:name="xdx_904_eus-gaap--StockIssuedDuringPerio"/>
      <w:bookmarkEnd w:id="638"/>
      <w:r>
        <w:rPr>
          <w:rFonts w:ascii="Times New Roman;Times;Serif" w:hAnsi="Times New Roman;Times;Serif"/>
          <w:b w:val="false"/>
          <w:i w:val="false"/>
          <w:caps w:val="false"/>
          <w:smallCaps w:val="false"/>
          <w:sz w:val="20"/>
        </w:rPr>
        <w:t>26,247,506 shares available under the 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valuation models require the input of assumptions. The fair value of stock-based payment awards was estimated using the Black-Scholes option model with a volatility figure derived from historical stock prices of the Company. The Company estimates the expected life of stock options granted to non-employees based on the contractual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employees, the Company accounts for the expected life of options in accordance with the “simplified” method, which is used for “plain-vanilla” options, as defined in the accounting standards codification. The risk-free interest rate was determined from the implied yields of U.S. Treasury zero-coupon bonds with a remaining life consistent with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9" w:name="xdx_896_eus-gaap--ScheduleOfShareBasedCo"/>
      <w:bookmarkEnd w:id="639"/>
      <w:r>
        <w:rPr>
          <w:rFonts w:ascii="Times New Roman;Times;Serif" w:hAnsi="Times New Roman;Times;Serif"/>
          <w:b w:val="false"/>
          <w:i w:val="false"/>
          <w:caps w:val="false"/>
          <w:smallCaps w:val="false"/>
          <w:sz w:val="20"/>
        </w:rPr>
        <w:t>The following table presents information related to stock options as of December 31, 2025:</w:t>
      </w:r>
    </w:p>
    <w:p>
      <w:pPr>
        <w:pStyle w:val="TextBody"/>
        <w:bidi w:val="0"/>
        <w:spacing w:before="0" w:after="0"/>
        <w:ind w:left="0" w:right="0" w:hanging="0"/>
        <w:jc w:val="both"/>
        <w:rPr>
          <w:caps w:val="false"/>
          <w:smallCaps w:val="false"/>
        </w:rPr>
      </w:pPr>
      <w:r>
        <w:rPr>
          <w:caps w:val="false"/>
          <w:smallCaps w:val="false"/>
        </w:rPr>
        <w:t> </w:t>
      </w:r>
      <w:bookmarkStart w:id="640" w:name="xdx_8B1_z1jLlRKyZ4td"/>
      <w:bookmarkEnd w:id="640"/>
      <w:r>
        <w:rPr>
          <w:rFonts w:ascii="Times New Roman;Times;Serif" w:hAnsi="Times New Roman;Times;Serif"/>
          <w:b w:val="false"/>
          <w:i w:val="false"/>
          <w:caps w:val="false"/>
          <w:smallCaps w:val="false"/>
          <w:sz w:val="20"/>
        </w:rPr>
        <w:t>SCHEDULE OF EXERCISE PRICE OF STOCK OPTIONS</w:t>
      </w:r>
    </w:p>
    <w:tbl>
      <w:tblPr>
        <w:tblW w:w="6682" w:type="dxa"/>
        <w:jc w:val="left"/>
        <w:tblInd w:w="0" w:type="dxa"/>
        <w:tblLayout w:type="fixed"/>
        <w:tblCellMar>
          <w:top w:w="0" w:type="dxa"/>
          <w:left w:w="0" w:type="dxa"/>
          <w:bottom w:w="28" w:type="dxa"/>
          <w:right w:w="0" w:type="dxa"/>
        </w:tblCellMar>
      </w:tblPr>
      <w:tblGrid>
        <w:gridCol w:w="155"/>
        <w:gridCol w:w="1010"/>
        <w:gridCol w:w="60"/>
        <w:gridCol w:w="60"/>
        <w:gridCol w:w="65"/>
        <w:gridCol w:w="1064"/>
        <w:gridCol w:w="60"/>
        <w:gridCol w:w="60"/>
        <w:gridCol w:w="301"/>
        <w:gridCol w:w="1608"/>
        <w:gridCol w:w="60"/>
        <w:gridCol w:w="60"/>
        <w:gridCol w:w="116"/>
        <w:gridCol w:w="1928"/>
        <w:gridCol w:w="75"/>
      </w:tblGrid>
      <w:tr>
        <w:trPr/>
        <w:tc>
          <w:tcPr>
            <w:tcW w:w="4443" w:type="dxa"/>
            <w:gridSpan w:val="10"/>
            <w:tcBorders>
              <w:bottom w:val="single" w:sz="8" w:space="0" w:color="000000"/>
            </w:tcBorders>
            <w:vAlign w:val="center"/>
          </w:tcPr>
          <w:p>
            <w:pPr>
              <w:pStyle w:val="TableContents"/>
              <w:bidi w:val="0"/>
              <w:spacing w:before="0" w:after="283"/>
              <w:jc w:val="center"/>
              <w:rPr>
                <w:b/>
              </w:rPr>
            </w:pPr>
            <w:r>
              <w:rPr>
                <w:b/>
              </w:rPr>
              <w:t>Options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 Exercisable</w:t>
            </w:r>
          </w:p>
        </w:tc>
        <w:tc>
          <w:tcPr>
            <w:tcW w:w="75" w:type="dxa"/>
            <w:tcBorders/>
            <w:tcMar>
              <w:bottom w:w="0" w:type="dxa"/>
            </w:tcMar>
            <w:vAlign w:val="center"/>
          </w:tcPr>
          <w:p>
            <w:pPr>
              <w:pStyle w:val="TableContents"/>
              <w:bidi w:val="0"/>
              <w:spacing w:before="0" w:after="283"/>
              <w:jc w:val="left"/>
              <w:rPr/>
            </w:pPr>
            <w:r>
              <w:rPr/>
              <w:t> </w:t>
            </w:r>
          </w:p>
        </w:tc>
      </w:tr>
      <w:tr>
        <w:trPr/>
        <w:tc>
          <w:tcPr>
            <w:tcW w:w="1165"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b/>
              </w:rPr>
            </w:pPr>
            <w:r>
              <w:rPr>
                <w:b/>
              </w:rPr>
              <w:t>Weighted Average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tcMar>
              <w:bottom w:w="0" w:type="dxa"/>
            </w:tcMar>
            <w:vAlign w:val="center"/>
          </w:tcPr>
          <w:p>
            <w:pPr>
              <w:pStyle w:val="TableContents"/>
              <w:bidi w:val="0"/>
              <w:spacing w:before="0" w:after="283"/>
              <w:jc w:val="center"/>
              <w:rPr>
                <w:b/>
              </w:rPr>
            </w:pPr>
            <w:r>
              <w:rPr>
                <w:b/>
              </w:rPr>
              <w:t>Exercisable</w:t>
            </w:r>
          </w:p>
        </w:tc>
        <w:tc>
          <w:tcPr>
            <w:tcW w:w="75" w:type="dxa"/>
            <w:tcBorders/>
            <w:tcMar>
              <w:bottom w:w="0" w:type="dxa"/>
            </w:tcMar>
            <w:vAlign w:val="center"/>
          </w:tcPr>
          <w:p>
            <w:pPr>
              <w:pStyle w:val="TableContents"/>
              <w:bidi w:val="0"/>
              <w:spacing w:before="0" w:after="283"/>
              <w:jc w:val="left"/>
              <w:rPr/>
            </w:pPr>
            <w:r>
              <w:rPr/>
              <w:t> </w:t>
            </w:r>
          </w:p>
        </w:tc>
      </w:tr>
      <w:tr>
        <w:trPr/>
        <w:tc>
          <w:tcPr>
            <w:tcW w:w="1165" w:type="dxa"/>
            <w:gridSpan w:val="2"/>
            <w:tcBorders/>
            <w:tcMar>
              <w:bottom w:w="0" w:type="dxa"/>
            </w:tcMar>
            <w:vAlign w:val="center"/>
          </w:tcPr>
          <w:p>
            <w:pPr>
              <w:pStyle w:val="TableContents"/>
              <w:bidi w:val="0"/>
              <w:spacing w:before="0" w:after="283"/>
              <w:jc w:val="center"/>
              <w:rPr>
                <w:b/>
              </w:rPr>
            </w:pPr>
            <w:r>
              <w:rPr>
                <w:b/>
              </w:rPr>
              <w:t>Exercise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b/>
              </w:rPr>
            </w:pPr>
            <w:r>
              <w:rPr>
                <w:b/>
              </w:rPr>
              <w:t>Remaining Life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tcMar>
              <w:bottom w:w="0" w:type="dxa"/>
            </w:tcMar>
            <w:vAlign w:val="center"/>
          </w:tcPr>
          <w:p>
            <w:pPr>
              <w:pStyle w:val="TableContents"/>
              <w:bidi w:val="0"/>
              <w:spacing w:before="0" w:after="283"/>
              <w:jc w:val="center"/>
              <w:rPr>
                <w:b/>
              </w:rPr>
            </w:pPr>
            <w:r>
              <w:rPr>
                <w:b/>
              </w:rPr>
              <w:t>Number of</w:t>
            </w:r>
          </w:p>
        </w:tc>
        <w:tc>
          <w:tcPr>
            <w:tcW w:w="75" w:type="dxa"/>
            <w:tcBorders/>
            <w:tcMar>
              <w:bottom w:w="0" w:type="dxa"/>
            </w:tcMar>
            <w:vAlign w:val="center"/>
          </w:tcPr>
          <w:p>
            <w:pPr>
              <w:pStyle w:val="TableContents"/>
              <w:bidi w:val="0"/>
              <w:spacing w:before="0" w:after="283"/>
              <w:jc w:val="left"/>
              <w:rPr/>
            </w:pPr>
            <w:r>
              <w:rPr/>
              <w:t> </w:t>
            </w:r>
          </w:p>
        </w:tc>
      </w:tr>
      <w:tr>
        <w:trPr/>
        <w:tc>
          <w:tcPr>
            <w:tcW w:w="1165" w:type="dxa"/>
            <w:gridSpan w:val="2"/>
            <w:tcBorders>
              <w:bottom w:val="single" w:sz="8" w:space="0" w:color="000000"/>
            </w:tcBorders>
            <w:vAlign w:val="center"/>
          </w:tcPr>
          <w:p>
            <w:pPr>
              <w:pStyle w:val="TableContents"/>
              <w:bidi w:val="0"/>
              <w:spacing w:before="0" w:after="283"/>
              <w:jc w:val="center"/>
              <w:rPr>
                <w:b/>
              </w:rPr>
            </w:pPr>
            <w:r>
              <w:rPr>
                <w:b/>
              </w:rP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spacing w:before="0" w:after="283"/>
              <w:jc w:val="center"/>
              <w:rPr>
                <w:b/>
              </w:rPr>
            </w:pPr>
            <w:r>
              <w:rPr>
                <w:b/>
              </w:rPr>
              <w:t>In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75" w:type="dxa"/>
            <w:tcBorders/>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Under </w:t>
            </w:r>
            <w:bookmarkStart w:id="641" w:name="xdx_909_eus-gaap--ShareBasedCompensation"/>
            <w:bookmarkEnd w:id="641"/>
            <w:r>
              <w:rPr>
                <w:rFonts w:ascii="Times New Roman;Times;Serif" w:hAnsi="Times New Roman;Times;Serif"/>
                <w:sz w:val="20"/>
              </w:rPr>
              <w:t>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642" w:name="xdx_98F_eus-gaap--ShareBasedCompensation"/>
            <w:bookmarkEnd w:id="642"/>
          </w:p>
        </w:tc>
        <w:tc>
          <w:tcPr>
            <w:tcW w:w="1064" w:type="dxa"/>
            <w:tcBorders/>
            <w:shd w:fill="CCEEFF" w:val="clear"/>
            <w:tcMar>
              <w:bottom w:w="0" w:type="dxa"/>
            </w:tcMar>
            <w:vAlign w:val="center"/>
          </w:tcPr>
          <w:p>
            <w:pPr>
              <w:pStyle w:val="TableContents"/>
              <w:bidi w:val="0"/>
              <w:spacing w:before="0" w:after="283"/>
              <w:jc w:val="right"/>
              <w:rPr/>
            </w:pPr>
            <w:r>
              <w:rPr/>
              <w:t>2,715,000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bookmarkStart w:id="643" w:name="xdx_981_eus-gaap--SharebasedCompensation"/>
            <w:bookmarkEnd w:id="643"/>
          </w:p>
        </w:tc>
        <w:tc>
          <w:tcPr>
            <w:tcW w:w="1608" w:type="dxa"/>
            <w:tcBorders/>
            <w:shd w:fill="CCEEFF" w:val="clear"/>
            <w:tcMar>
              <w:bottom w:w="0" w:type="dxa"/>
            </w:tcMar>
            <w:vAlign w:val="center"/>
          </w:tcPr>
          <w:p>
            <w:pPr>
              <w:pStyle w:val="TableContents"/>
              <w:bidi w:val="0"/>
              <w:spacing w:before="0" w:after="283"/>
              <w:jc w:val="right"/>
              <w:rPr/>
            </w:pPr>
            <w:r>
              <w:rPr/>
              <w:t>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644" w:name="xdx_98C_eus-gaap--ShareBasedCompensation"/>
            <w:bookmarkEnd w:id="644"/>
          </w:p>
        </w:tc>
        <w:tc>
          <w:tcPr>
            <w:tcW w:w="1928" w:type="dxa"/>
            <w:tcBorders/>
            <w:shd w:fill="CCEEFF" w:val="clear"/>
            <w:tcMar>
              <w:bottom w:w="0" w:type="dxa"/>
            </w:tcMar>
            <w:vAlign w:val="center"/>
          </w:tcPr>
          <w:p>
            <w:pPr>
              <w:pStyle w:val="TableContents"/>
              <w:bidi w:val="0"/>
              <w:spacing w:before="0" w:after="283"/>
              <w:jc w:val="right"/>
              <w:rPr/>
            </w:pPr>
            <w:r>
              <w:rPr/>
              <w:t>2,715,000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645" w:name="xdx_909_eus-gaap--ShareBasedCompensation"/>
            <w:bookmarkEnd w:id="645"/>
            <w:r>
              <w:rPr>
                <w:rFonts w:ascii="Times New Roman;Times;Serif" w:hAnsi="Times New Roman;Times;Serif"/>
                <w:sz w:val="20"/>
              </w:rPr>
              <w:t>10.00-</w:t>
            </w:r>
            <w:bookmarkStart w:id="646" w:name="xdx_902_eus-gaap--ShareBasedCompensation"/>
            <w:bookmarkEnd w:id="646"/>
            <w:r>
              <w:rPr>
                <w:rFonts w:ascii="Times New Roman;Times;Serif" w:hAnsi="Times New Roman;Times;Serif"/>
                <w:sz w:val="20"/>
              </w:rPr>
              <w:t>19.99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bookmarkStart w:id="647" w:name="xdx_989_eus-gaap--ShareBasedCompensation"/>
            <w:bookmarkEnd w:id="647"/>
          </w:p>
        </w:tc>
        <w:tc>
          <w:tcPr>
            <w:tcW w:w="1064"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bookmarkStart w:id="648" w:name="xdx_98C_eus-gaap--SharebasedCompensation"/>
            <w:bookmarkEnd w:id="648"/>
          </w:p>
        </w:tc>
        <w:tc>
          <w:tcPr>
            <w:tcW w:w="1608" w:type="dxa"/>
            <w:tcBorders/>
            <w:shd w:fill="FFFFFF" w:val="clear"/>
            <w:tcMar>
              <w:bottom w:w="0" w:type="dxa"/>
            </w:tcMar>
            <w:vAlign w:val="center"/>
          </w:tcPr>
          <w:p>
            <w:pPr>
              <w:pStyle w:val="TableContents"/>
              <w:bidi w:val="0"/>
              <w:spacing w:before="0" w:after="283"/>
              <w:jc w:val="right"/>
              <w:rPr/>
            </w:pPr>
            <w:r>
              <w:rPr/>
              <w:t>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bookmarkStart w:id="649" w:name="xdx_98E_eus-gaap--ShareBasedCompensation"/>
            <w:bookmarkEnd w:id="649"/>
          </w:p>
        </w:tc>
        <w:tc>
          <w:tcPr>
            <w:tcW w:w="1928" w:type="dxa"/>
            <w:tcBorders/>
            <w:shd w:fill="FFFFFF" w:val="clear"/>
            <w:tcMar>
              <w:bottom w:w="0" w:type="dxa"/>
            </w:tcMar>
            <w:vAlign w:val="center"/>
          </w:tcPr>
          <w:p>
            <w:pPr>
              <w:pStyle w:val="TableContents"/>
              <w:bidi w:val="0"/>
              <w:spacing w:before="0" w:after="283"/>
              <w:jc w:val="right"/>
              <w:rPr/>
            </w:pPr>
            <w:r>
              <w:rPr/>
              <w:t>15,000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650" w:name="xdx_90F_eus-gaap--ShareBasedCompensation"/>
            <w:bookmarkEnd w:id="650"/>
            <w:r>
              <w:rPr>
                <w:rFonts w:ascii="Times New Roman;Times;Serif" w:hAnsi="Times New Roman;Times;Serif"/>
                <w:sz w:val="20"/>
              </w:rPr>
              <w:t>20.00-</w:t>
            </w:r>
            <w:bookmarkStart w:id="651" w:name="xdx_908_eus-gaap--ShareBasedCompensation"/>
            <w:bookmarkEnd w:id="651"/>
            <w:r>
              <w:rPr>
                <w:rFonts w:ascii="Times New Roman;Times;Serif" w:hAnsi="Times New Roman;Times;Serif"/>
                <w:sz w:val="20"/>
              </w:rPr>
              <w:t>49.99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652" w:name="xdx_98A_eus-gaap--ShareBasedCompensation"/>
            <w:bookmarkEnd w:id="652"/>
          </w:p>
        </w:tc>
        <w:tc>
          <w:tcPr>
            <w:tcW w:w="1064"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bookmarkStart w:id="653" w:name="xdx_986_eus-gaap--SharebasedCompensation"/>
            <w:bookmarkEnd w:id="653"/>
          </w:p>
        </w:tc>
        <w:tc>
          <w:tcPr>
            <w:tcW w:w="1608" w:type="dxa"/>
            <w:tcBorders/>
            <w:shd w:fill="CCEEFF" w:val="clear"/>
            <w:tcMar>
              <w:bottom w:w="0" w:type="dxa"/>
            </w:tcMar>
            <w:vAlign w:val="center"/>
          </w:tcPr>
          <w:p>
            <w:pPr>
              <w:pStyle w:val="TableContents"/>
              <w:bidi w:val="0"/>
              <w:spacing w:before="0" w:after="283"/>
              <w:jc w:val="right"/>
              <w:rPr/>
            </w:pPr>
            <w:r>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654" w:name="xdx_98D_eus-gaap--ShareBasedCompensation"/>
            <w:bookmarkEnd w:id="654"/>
          </w:p>
        </w:tc>
        <w:tc>
          <w:tcPr>
            <w:tcW w:w="1928"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655" w:name="xdx_902_eus-gaap--ShareBasedCompensation"/>
            <w:bookmarkEnd w:id="655"/>
            <w:r>
              <w:rPr>
                <w:rFonts w:ascii="Times New Roman;Times;Serif" w:hAnsi="Times New Roman;Times;Serif"/>
                <w:sz w:val="20"/>
              </w:rPr>
              <w:t>50.00-</w:t>
            </w:r>
            <w:bookmarkStart w:id="656" w:name="xdx_902_eus-gaap--ShareBasedCompensation"/>
            <w:bookmarkEnd w:id="656"/>
            <w:r>
              <w:rPr>
                <w:rFonts w:ascii="Times New Roman;Times;Serif" w:hAnsi="Times New Roman;Times;Serif"/>
                <w:sz w:val="20"/>
              </w:rPr>
              <w:t>69.99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vAlign w:val="center"/>
          </w:tcPr>
          <w:p>
            <w:pPr>
              <w:pStyle w:val="TableContents"/>
              <w:bidi w:val="0"/>
              <w:spacing w:before="0" w:after="283"/>
              <w:jc w:val="left"/>
              <w:rPr/>
            </w:pPr>
            <w:r>
              <w:rPr/>
              <w:t> </w:t>
            </w:r>
            <w:bookmarkStart w:id="657" w:name="xdx_98C_eus-gaap--ShareBasedCompensation"/>
            <w:bookmarkEnd w:id="657"/>
          </w:p>
        </w:tc>
        <w:tc>
          <w:tcPr>
            <w:tcW w:w="1064" w:type="dxa"/>
            <w:tcBorders>
              <w:bottom w:val="single" w:sz="8" w:space="0" w:color="000000"/>
            </w:tcBorders>
            <w:shd w:fill="FFFFFF" w:val="clear"/>
            <w:vAlign w:val="center"/>
          </w:tcPr>
          <w:p>
            <w:pPr>
              <w:pStyle w:val="TableContents"/>
              <w:bidi w:val="0"/>
              <w:spacing w:before="0" w:after="283"/>
              <w:jc w:val="right"/>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1" w:type="dxa"/>
            <w:tcBorders/>
            <w:shd w:fill="FFFFFF" w:val="clear"/>
            <w:tcMar>
              <w:bottom w:w="0" w:type="dxa"/>
            </w:tcMar>
            <w:vAlign w:val="center"/>
          </w:tcPr>
          <w:p>
            <w:pPr>
              <w:pStyle w:val="TableContents"/>
              <w:bidi w:val="0"/>
              <w:spacing w:before="0" w:after="283"/>
              <w:jc w:val="left"/>
              <w:rPr/>
            </w:pPr>
            <w:r>
              <w:rPr/>
              <w:t> </w:t>
            </w:r>
            <w:bookmarkStart w:id="658" w:name="xdx_984_eus-gaap--SharebasedCompensation"/>
            <w:bookmarkEnd w:id="658"/>
          </w:p>
        </w:tc>
        <w:tc>
          <w:tcPr>
            <w:tcW w:w="1608" w:type="dxa"/>
            <w:tcBorders/>
            <w:shd w:fill="FFFFFF" w:val="clear"/>
            <w:tcMar>
              <w:bottom w:w="0" w:type="dxa"/>
            </w:tcMar>
            <w:vAlign w:val="center"/>
          </w:tcPr>
          <w:p>
            <w:pPr>
              <w:pStyle w:val="TableContents"/>
              <w:bidi w:val="0"/>
              <w:spacing w:before="0" w:after="283"/>
              <w:jc w:val="right"/>
              <w:rPr/>
            </w:pPr>
            <w:r>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pPr>
            <w:r>
              <w:rPr/>
              <w:t> </w:t>
            </w:r>
            <w:bookmarkStart w:id="659" w:name="xdx_980_eus-gaap--ShareBasedCompensation"/>
            <w:bookmarkEnd w:id="659"/>
          </w:p>
        </w:tc>
        <w:tc>
          <w:tcPr>
            <w:tcW w:w="1928" w:type="dxa"/>
            <w:tcBorders>
              <w:bottom w:val="single" w:sz="8" w:space="0" w:color="000000"/>
            </w:tcBorders>
            <w:shd w:fill="FFFFFF" w:val="clear"/>
            <w:vAlign w:val="center"/>
          </w:tcPr>
          <w:p>
            <w:pPr>
              <w:pStyle w:val="TableContents"/>
              <w:bidi w:val="0"/>
              <w:spacing w:before="0" w:after="283"/>
              <w:jc w:val="right"/>
              <w:rPr/>
            </w:pPr>
            <w:r>
              <w:rPr/>
              <w:t>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660" w:name="xdx_98E_eus-gaap--ShareBasedCompensation"/>
            <w:bookmarkEnd w:id="660"/>
          </w:p>
        </w:tc>
        <w:tc>
          <w:tcPr>
            <w:tcW w:w="1064" w:type="dxa"/>
            <w:tcBorders/>
            <w:shd w:fill="CCEEFF" w:val="clear"/>
            <w:tcMar>
              <w:bottom w:w="0" w:type="dxa"/>
            </w:tcMar>
            <w:vAlign w:val="center"/>
          </w:tcPr>
          <w:p>
            <w:pPr>
              <w:pStyle w:val="TableContents"/>
              <w:bidi w:val="0"/>
              <w:spacing w:before="0" w:after="283"/>
              <w:jc w:val="right"/>
              <w:rPr/>
            </w:pPr>
            <w:r>
              <w:rPr/>
              <w:t>2,736,000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1" w:type="dxa"/>
            <w:tcBorders/>
            <w:shd w:fill="CCEEFF" w:val="clear"/>
            <w:tcMar>
              <w:bottom w:w="0" w:type="dxa"/>
            </w:tcMar>
            <w:vAlign w:val="center"/>
          </w:tcPr>
          <w:p>
            <w:pPr>
              <w:pStyle w:val="TableContents"/>
              <w:bidi w:val="0"/>
              <w:spacing w:before="0" w:after="283"/>
              <w:jc w:val="left"/>
              <w:rPr/>
            </w:pPr>
            <w:r>
              <w:rPr/>
              <w:t> </w:t>
            </w:r>
          </w:p>
        </w:tc>
        <w:tc>
          <w:tcPr>
            <w:tcW w:w="1608" w:type="dxa"/>
            <w:tcBorders/>
            <w:shd w:fill="CCEEFF" w:val="clear"/>
            <w:tcMar>
              <w:bottom w:w="0" w:type="dxa"/>
            </w:tcMar>
            <w:vAlign w:val="center"/>
          </w:tcPr>
          <w:p>
            <w:pPr>
              <w:pStyle w:val="TableContents"/>
              <w:bidi w:val="0"/>
              <w:spacing w:before="0" w:after="283"/>
              <w:jc w:val="right"/>
              <w:rPr/>
            </w:pPr>
            <w:bookmarkStart w:id="661" w:name="xdx_90B_eus-gaap--SharebasedCompensation"/>
            <w:bookmarkEnd w:id="661"/>
            <w:r>
              <w:rPr/>
              <w:t>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662" w:name="xdx_986_eus-gaap--ShareBasedCompensation"/>
            <w:bookmarkEnd w:id="662"/>
          </w:p>
        </w:tc>
        <w:tc>
          <w:tcPr>
            <w:tcW w:w="1928" w:type="dxa"/>
            <w:tcBorders/>
            <w:shd w:fill="CCEEFF" w:val="clear"/>
            <w:tcMar>
              <w:bottom w:w="0" w:type="dxa"/>
            </w:tcMar>
            <w:vAlign w:val="center"/>
          </w:tcPr>
          <w:p>
            <w:pPr>
              <w:pStyle w:val="TableContents"/>
              <w:bidi w:val="0"/>
              <w:spacing w:before="0" w:after="283"/>
              <w:jc w:val="right"/>
              <w:rPr/>
            </w:pPr>
            <w:r>
              <w:rPr/>
              <w:t>2,736,000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3" w:name="xdx_8A7_zpaaAkT8f6h1"/>
      <w:bookmarkEnd w:id="6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4" w:name="xdx_890_eus-gaap--ScheduleOfShareBasedCo"/>
      <w:bookmarkEnd w:id="664"/>
      <w:r>
        <w:rPr>
          <w:rFonts w:ascii="Times New Roman;Times;Serif" w:hAnsi="Times New Roman;Times;Serif"/>
          <w:b w:val="false"/>
          <w:i w:val="false"/>
          <w:caps w:val="false"/>
          <w:smallCaps w:val="false"/>
          <w:sz w:val="20"/>
        </w:rPr>
        <w:t>A summary of the stock option activity and related information for the Plan for the years ended December 31, 2025 and 2024 is as follows:</w:t>
      </w:r>
    </w:p>
    <w:p>
      <w:pPr>
        <w:pStyle w:val="TextBody"/>
        <w:bidi w:val="0"/>
        <w:spacing w:before="0" w:after="0"/>
        <w:ind w:left="0" w:right="0" w:hanging="0"/>
        <w:jc w:val="both"/>
        <w:rPr>
          <w:caps w:val="false"/>
          <w:smallCaps w:val="false"/>
        </w:rPr>
      </w:pPr>
      <w:r>
        <w:rPr>
          <w:caps w:val="false"/>
          <w:smallCaps w:val="false"/>
        </w:rPr>
        <w:t> </w:t>
      </w:r>
      <w:bookmarkStart w:id="665" w:name="xdx_8B7_zMOZeUk6JD1j"/>
      <w:bookmarkEnd w:id="665"/>
      <w:r>
        <w:rPr>
          <w:rFonts w:ascii="Times New Roman;Times;Serif" w:hAnsi="Times New Roman;Times;Serif"/>
          <w:b w:val="false"/>
          <w:i w:val="false"/>
          <w:caps w:val="false"/>
          <w:smallCaps w:val="false"/>
          <w:sz w:val="20"/>
        </w:rPr>
        <w:t>SCHEDULE OF STOCK OPTION ACTIVITY</w:t>
      </w:r>
    </w:p>
    <w:tbl>
      <w:tblPr>
        <w:tblW w:w="9688" w:type="dxa"/>
        <w:jc w:val="left"/>
        <w:tblInd w:w="0" w:type="dxa"/>
        <w:tblLayout w:type="fixed"/>
        <w:tblCellMar>
          <w:top w:w="0" w:type="dxa"/>
          <w:left w:w="0" w:type="dxa"/>
          <w:bottom w:w="0" w:type="dxa"/>
          <w:right w:w="0" w:type="dxa"/>
        </w:tblCellMar>
      </w:tblPr>
      <w:tblGrid>
        <w:gridCol w:w="3080"/>
        <w:gridCol w:w="60"/>
        <w:gridCol w:w="60"/>
        <w:gridCol w:w="980"/>
        <w:gridCol w:w="95"/>
        <w:gridCol w:w="60"/>
        <w:gridCol w:w="292"/>
        <w:gridCol w:w="1168"/>
        <w:gridCol w:w="60"/>
        <w:gridCol w:w="60"/>
        <w:gridCol w:w="322"/>
        <w:gridCol w:w="1722"/>
        <w:gridCol w:w="60"/>
        <w:gridCol w:w="60"/>
        <w:gridCol w:w="191"/>
        <w:gridCol w:w="1343"/>
        <w:gridCol w:w="75"/>
      </w:tblGrid>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jc w:val="center"/>
              <w:rPr>
                <w:b/>
              </w:rPr>
            </w:pPr>
            <w:r>
              <w:rPr>
                <w:b/>
              </w:rPr>
              <w:t>Weighted</w:t>
            </w:r>
          </w:p>
          <w:p>
            <w:pPr>
              <w:pStyle w:val="TableContents"/>
              <w:bidi w:val="0"/>
              <w:jc w:val="center"/>
              <w:rPr>
                <w:b/>
              </w:rPr>
            </w:pPr>
            <w:r>
              <w:rPr>
                <w:b/>
              </w:rPr>
              <w:t>Average</w:t>
            </w:r>
          </w:p>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jc w:val="center"/>
              <w:rPr>
                <w:b/>
              </w:rPr>
            </w:pPr>
            <w:r>
              <w:rPr>
                <w:b/>
              </w:rPr>
              <w:t>Weighted</w:t>
            </w:r>
          </w:p>
          <w:p>
            <w:pPr>
              <w:pStyle w:val="TableContents"/>
              <w:bidi w:val="0"/>
              <w:jc w:val="center"/>
              <w:rPr>
                <w:b/>
              </w:rPr>
            </w:pPr>
            <w:r>
              <w:rPr>
                <w:b/>
              </w:rPr>
              <w:t>Average Remaining</w:t>
            </w:r>
          </w:p>
          <w:p>
            <w:pPr>
              <w:pStyle w:val="TableContents"/>
              <w:bidi w:val="0"/>
              <w:spacing w:before="0" w:after="283"/>
              <w:jc w:val="center"/>
              <w:rPr>
                <w:b/>
              </w:rPr>
            </w:pPr>
            <w:r>
              <w:rPr>
                <w:b/>
              </w:rPr>
              <w:t>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jc w:val="center"/>
              <w:rPr>
                <w:b/>
              </w:rPr>
            </w:pPr>
            <w:r>
              <w:rPr>
                <w:b/>
              </w:rPr>
              <w:t>Aggregate</w:t>
            </w:r>
          </w:p>
          <w:p>
            <w:pPr>
              <w:pStyle w:val="TableContents"/>
              <w:bidi w:val="0"/>
              <w:spacing w:before="0" w:after="283"/>
              <w:jc w:val="center"/>
              <w:rPr>
                <w:b/>
              </w:rPr>
            </w:pPr>
            <w:r>
              <w:rPr>
                <w:b/>
              </w:rPr>
              <w:t>Intrinsic Value</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6" w:name="xdx_98E_eus-gaap--ShareBasedCompensation"/>
            <w:bookmarkEnd w:id="666"/>
          </w:p>
        </w:tc>
        <w:tc>
          <w:tcPr>
            <w:tcW w:w="980" w:type="dxa"/>
            <w:tcBorders/>
            <w:shd w:fill="CCEEFF" w:val="clear"/>
            <w:vAlign w:val="center"/>
          </w:tcPr>
          <w:p>
            <w:pPr>
              <w:pStyle w:val="TableContents"/>
              <w:bidi w:val="0"/>
              <w:spacing w:before="0" w:after="283"/>
              <w:jc w:val="right"/>
              <w:rPr/>
            </w:pPr>
            <w:r>
              <w:rPr/>
              <w:t>603,229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67" w:name="xdx_98B_eus-gaap--ShareBasedCompensation"/>
            <w:bookmarkEnd w:id="667"/>
          </w:p>
        </w:tc>
        <w:tc>
          <w:tcPr>
            <w:tcW w:w="1168" w:type="dxa"/>
            <w:tcBorders/>
            <w:shd w:fill="CCEEFF" w:val="clear"/>
            <w:vAlign w:val="center"/>
          </w:tcPr>
          <w:p>
            <w:pPr>
              <w:pStyle w:val="TableContents"/>
              <w:bidi w:val="0"/>
              <w:spacing w:before="0" w:after="283"/>
              <w:jc w:val="right"/>
              <w:rPr/>
            </w:pPr>
            <w:r>
              <w:rPr/>
              <w:t>25.67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668" w:name="xdx_983_eus-gaap--SharebasedCompensation"/>
            <w:bookmarkEnd w:id="668"/>
          </w:p>
        </w:tc>
        <w:tc>
          <w:tcPr>
            <w:tcW w:w="1722"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669" w:name="xdx_98F_eus-gaap--ShareBasedCompensation"/>
            <w:bookmarkEnd w:id="669"/>
          </w:p>
        </w:tc>
        <w:tc>
          <w:tcPr>
            <w:tcW w:w="134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0" w:name="xdx_986_eus-gaap--ShareBasedCompensation"/>
            <w:bookmarkEnd w:id="670"/>
          </w:p>
        </w:tc>
        <w:tc>
          <w:tcPr>
            <w:tcW w:w="980" w:type="dxa"/>
            <w:tcBorders/>
            <w:shd w:fill="FFFFFF" w:val="clear"/>
            <w:vAlign w:val="center"/>
          </w:tcPr>
          <w:p>
            <w:pPr>
              <w:pStyle w:val="TableContents"/>
              <w:bidi w:val="0"/>
              <w:spacing w:before="0" w:after="283"/>
              <w:jc w:val="right"/>
              <w:rPr/>
            </w:pPr>
            <w:r>
              <w:rPr/>
              <w:t>2,400,000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671" w:name="xdx_989_eus-gaap--ShareBasedCompensation"/>
            <w:bookmarkEnd w:id="671"/>
          </w:p>
        </w:tc>
        <w:tc>
          <w:tcPr>
            <w:tcW w:w="1168" w:type="dxa"/>
            <w:tcBorders/>
            <w:shd w:fill="FFFFFF" w:val="clear"/>
            <w:vAlign w:val="center"/>
          </w:tcPr>
          <w:p>
            <w:pPr>
              <w:pStyle w:val="TableContents"/>
              <w:bidi w:val="0"/>
              <w:spacing w:before="0" w:after="283"/>
              <w:jc w:val="right"/>
              <w:rPr/>
            </w:pPr>
            <w:r>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7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b/>
              </w:rPr>
            </w:pPr>
            <w:r>
              <w:rPr>
                <w:b/>
              </w:rPr>
              <w:t>$</w:t>
            </w:r>
            <w:bookmarkStart w:id="672" w:name="xdx_984_ecustom--ShareBasedCompensationA"/>
            <w:bookmarkEnd w:id="672"/>
          </w:p>
        </w:tc>
        <w:tc>
          <w:tcPr>
            <w:tcW w:w="1343" w:type="dxa"/>
            <w:tcBorders/>
            <w:shd w:fill="FFFFFF" w:val="cle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3" w:name="xdx_988_eus-gaap--ShareBasedCompensation"/>
            <w:bookmarkEnd w:id="67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(488,029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74" w:name="xdx_98A_eus-gaap--ShareBasedCompensation"/>
            <w:bookmarkEnd w:id="674"/>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28.97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5" w:name="xdx_982_ecustom--ShareBasedCompensationA"/>
            <w:bookmarkEnd w:id="675"/>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6" w:name="xdx_982_eus-gaap--ShareBasedCompensation"/>
            <w:bookmarkEnd w:id="676"/>
          </w:p>
        </w:tc>
        <w:tc>
          <w:tcPr>
            <w:tcW w:w="980" w:type="dxa"/>
            <w:tcBorders/>
            <w:shd w:fill="FFFFFF" w:val="clear"/>
            <w:vAlign w:val="center"/>
          </w:tcPr>
          <w:p>
            <w:pPr>
              <w:pStyle w:val="TableContents"/>
              <w:bidi w:val="0"/>
              <w:spacing w:before="0" w:after="283"/>
              <w:jc w:val="right"/>
              <w:rPr/>
            </w:pPr>
            <w:r>
              <w:rPr/>
              <w:t>2,515,200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677" w:name="xdx_989_eus-gaap--ShareBasedCompensation"/>
            <w:bookmarkEnd w:id="677"/>
          </w:p>
        </w:tc>
        <w:tc>
          <w:tcPr>
            <w:tcW w:w="1168" w:type="dxa"/>
            <w:tcBorders/>
            <w:shd w:fill="FFFFFF" w:val="clear"/>
            <w:vAlign w:val="center"/>
          </w:tcPr>
          <w:p>
            <w:pPr>
              <w:pStyle w:val="TableContents"/>
              <w:bidi w:val="0"/>
              <w:spacing w:before="0" w:after="283"/>
              <w:jc w:val="right"/>
              <w:rPr/>
            </w:pPr>
            <w:r>
              <w:rPr/>
              <w:t>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678" w:name="xdx_983_eus-gaap--SharebasedCompensation"/>
            <w:bookmarkEnd w:id="678"/>
          </w:p>
        </w:tc>
        <w:tc>
          <w:tcPr>
            <w:tcW w:w="1722" w:type="dxa"/>
            <w:tcBorders/>
            <w:shd w:fill="FFFFFF" w:val="clear"/>
            <w:vAlign w:val="center"/>
          </w:tcPr>
          <w:p>
            <w:pPr>
              <w:pStyle w:val="TableContents"/>
              <w:bidi w:val="0"/>
              <w:spacing w:before="0" w:after="283"/>
              <w:jc w:val="right"/>
              <w:rPr/>
            </w:pPr>
            <w:r>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bookmarkStart w:id="679" w:name="xdx_980_eus-gaap--ShareBasedCompensation"/>
            <w:bookmarkEnd w:id="679"/>
          </w:p>
        </w:tc>
        <w:tc>
          <w:tcPr>
            <w:tcW w:w="1343" w:type="dxa"/>
            <w:tcBorders/>
            <w:shd w:fill="FFFFFF" w:val="clear"/>
            <w:vAlign w:val="center"/>
          </w:tcPr>
          <w:p>
            <w:pPr>
              <w:pStyle w:val="TableContents"/>
              <w:bidi w:val="0"/>
              <w:spacing w:before="0" w:after="283"/>
              <w:jc w:val="right"/>
              <w:rPr/>
            </w:pPr>
            <w:r>
              <w:rPr/>
              <w:t>2,501,040</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0" w:name="xdx_989_eus-gaap--ShareBasedCompensation"/>
            <w:bookmarkEnd w:id="680"/>
          </w:p>
        </w:tc>
        <w:tc>
          <w:tcPr>
            <w:tcW w:w="980" w:type="dxa"/>
            <w:tcBorders/>
            <w:shd w:fill="CCEEFF" w:val="clear"/>
            <w:vAlign w:val="center"/>
          </w:tcPr>
          <w:p>
            <w:pPr>
              <w:pStyle w:val="TableContents"/>
              <w:bidi w:val="0"/>
              <w:spacing w:before="0" w:after="283"/>
              <w:jc w:val="right"/>
              <w:rPr/>
            </w:pPr>
            <w:r>
              <w:rPr/>
              <w:t>250,000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81" w:name="xdx_986_eus-gaap--ShareBasedCompensation"/>
            <w:bookmarkEnd w:id="681"/>
          </w:p>
        </w:tc>
        <w:tc>
          <w:tcPr>
            <w:tcW w:w="1168" w:type="dxa"/>
            <w:tcBorders/>
            <w:shd w:fill="CCEEFF" w:val="clear"/>
            <w:vAlign w:val="center"/>
          </w:tcPr>
          <w:p>
            <w:pPr>
              <w:pStyle w:val="TableContents"/>
              <w:bidi w:val="0"/>
              <w:spacing w:before="0" w:after="283"/>
              <w:jc w:val="right"/>
              <w:rPr/>
            </w:pPr>
            <w:r>
              <w:rPr/>
              <w:t>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682" w:name="xdx_985_ecustom--SharebasedCompensationA"/>
            <w:bookmarkEnd w:id="682"/>
          </w:p>
        </w:tc>
        <w:tc>
          <w:tcPr>
            <w:tcW w:w="1722"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683" w:name="xdx_988_ecustom--ShareBasedCompensationA"/>
            <w:bookmarkEnd w:id="683"/>
          </w:p>
        </w:tc>
        <w:tc>
          <w:tcPr>
            <w:tcW w:w="134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4" w:name="xdx_98A_eus-gaap--ShareBasedCompensation"/>
            <w:bookmarkEnd w:id="68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85" w:name="xdx_987_eus-gaap--ShareBasedCompensation"/>
            <w:bookmarkEnd w:id="685"/>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6" w:name="xdx_98C_ecustom--ShareBasedCompensationA"/>
            <w:bookmarkEnd w:id="686"/>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7" w:name="xdx_984_eus-gaap--ShareBasedCompensation"/>
            <w:bookmarkEnd w:id="687"/>
          </w:p>
        </w:tc>
        <w:tc>
          <w:tcPr>
            <w:tcW w:w="980" w:type="dxa"/>
            <w:tcBorders/>
            <w:shd w:fill="CCEEFF" w:val="clear"/>
            <w:vAlign w:val="center"/>
          </w:tcPr>
          <w:p>
            <w:pPr>
              <w:pStyle w:val="TableContents"/>
              <w:bidi w:val="0"/>
              <w:spacing w:before="0" w:after="283"/>
              <w:jc w:val="right"/>
              <w:rPr/>
            </w:pPr>
            <w:r>
              <w:rPr/>
              <w:t>2,736,000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688" w:name="xdx_983_eus-gaap--ShareBasedCompensation"/>
            <w:bookmarkEnd w:id="688"/>
          </w:p>
        </w:tc>
        <w:tc>
          <w:tcPr>
            <w:tcW w:w="1168"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689" w:name="xdx_986_eus-gaap--SharebasedCompensation"/>
            <w:bookmarkEnd w:id="689"/>
          </w:p>
        </w:tc>
        <w:tc>
          <w:tcPr>
            <w:tcW w:w="1722"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690" w:name="xdx_985_eus-gaap--ShareBasedCompensation"/>
            <w:bookmarkEnd w:id="690"/>
          </w:p>
        </w:tc>
        <w:tc>
          <w:tcPr>
            <w:tcW w:w="1343" w:type="dxa"/>
            <w:tcBorders/>
            <w:shd w:fill="CCEEFF" w:val="clear"/>
            <w:vAlign w:val="center"/>
          </w:tcPr>
          <w:p>
            <w:pPr>
              <w:pStyle w:val="TableContents"/>
              <w:bidi w:val="0"/>
              <w:spacing w:before="0" w:after="283"/>
              <w:jc w:val="right"/>
              <w:rPr/>
            </w:pPr>
            <w:r>
              <w:rPr/>
              <w:t>6,744,540</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1" w:name="xdx_984_eus-gaap--ShareBasedCompensation"/>
            <w:bookmarkEnd w:id="691"/>
          </w:p>
        </w:tc>
        <w:tc>
          <w:tcPr>
            <w:tcW w:w="980" w:type="dxa"/>
            <w:tcBorders/>
            <w:shd w:fill="FFFFFF" w:val="clear"/>
            <w:vAlign w:val="center"/>
          </w:tcPr>
          <w:p>
            <w:pPr>
              <w:pStyle w:val="TableContents"/>
              <w:bidi w:val="0"/>
              <w:spacing w:before="0" w:after="283"/>
              <w:jc w:val="right"/>
              <w:rPr/>
            </w:pPr>
            <w:r>
              <w:rPr/>
              <w:t>2,736,000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692" w:name="xdx_985_eus-gaap--ShareBasedCompensation"/>
            <w:bookmarkEnd w:id="692"/>
          </w:p>
        </w:tc>
        <w:tc>
          <w:tcPr>
            <w:tcW w:w="1168" w:type="dxa"/>
            <w:tcBorders/>
            <w:shd w:fill="FFFFFF" w:val="clear"/>
            <w:vAlign w:val="center"/>
          </w:tcPr>
          <w:p>
            <w:pPr>
              <w:pStyle w:val="TableContents"/>
              <w:bidi w:val="0"/>
              <w:spacing w:before="0" w:after="283"/>
              <w:jc w:val="right"/>
              <w:rPr/>
            </w:pPr>
            <w:r>
              <w:rPr/>
              <w:t>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693" w:name="xdx_987_ecustom--SharebasedCompensationA"/>
            <w:bookmarkEnd w:id="693"/>
          </w:p>
        </w:tc>
        <w:tc>
          <w:tcPr>
            <w:tcW w:w="1722" w:type="dxa"/>
            <w:tcBorders/>
            <w:shd w:fill="FFFFFF" w:val="clear"/>
            <w:vAlign w:val="center"/>
          </w:tcPr>
          <w:p>
            <w:pPr>
              <w:pStyle w:val="TableContents"/>
              <w:bidi w:val="0"/>
              <w:spacing w:before="0" w:after="283"/>
              <w:jc w:val="right"/>
              <w:rPr/>
            </w:pPr>
            <w:r>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bookmarkStart w:id="694" w:name="xdx_98E_eus-gaap--SharebasedCompensation"/>
            <w:bookmarkEnd w:id="694"/>
          </w:p>
        </w:tc>
        <w:tc>
          <w:tcPr>
            <w:tcW w:w="1343" w:type="dxa"/>
            <w:tcBorders/>
            <w:shd w:fill="FFFFFF" w:val="clear"/>
            <w:vAlign w:val="center"/>
          </w:tcPr>
          <w:p>
            <w:pPr>
              <w:pStyle w:val="TableContents"/>
              <w:bidi w:val="0"/>
              <w:spacing w:before="0" w:after="283"/>
              <w:jc w:val="right"/>
              <w:rPr/>
            </w:pPr>
            <w:r>
              <w:rPr/>
              <w:t>6,744,540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5" w:name="xdx_8AA_zhorkUQQdL0l"/>
      <w:bookmarkEnd w:id="69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tables represents the total pretax intrinsic value, based on options with an exercise price less than the stock price of the Company of $</w:t>
      </w:r>
      <w:bookmarkStart w:id="696" w:name="xdx_907_eus-gaap--ShareBasedCompensation"/>
      <w:bookmarkEnd w:id="696"/>
      <w:r>
        <w:rPr>
          <w:rFonts w:ascii="Times New Roman;Times;Serif" w:hAnsi="Times New Roman;Times;Serif"/>
          <w:b w:val="false"/>
          <w:i w:val="false"/>
          <w:caps w:val="false"/>
          <w:smallCaps w:val="false"/>
          <w:sz w:val="20"/>
        </w:rPr>
        <w:t>3.03 as of December 31, 2025, which would have been received by the option holders had those option holders exercised their options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granted an aggregate of </w:t>
      </w:r>
      <w:bookmarkStart w:id="697" w:name="xdx_908_eus-gaap--ShareBasedCompensation"/>
      <w:bookmarkEnd w:id="697"/>
      <w:r>
        <w:rPr>
          <w:rFonts w:ascii="Times New Roman;Times;Serif" w:hAnsi="Times New Roman;Times;Serif"/>
          <w:b w:val="false"/>
          <w:i w:val="false"/>
          <w:caps w:val="false"/>
          <w:smallCaps w:val="false"/>
          <w:sz w:val="20"/>
        </w:rPr>
        <w:t>2,400,000 options to purchase the Company’s common stock at a weighted average exercise price of $</w:t>
      </w:r>
      <w:bookmarkStart w:id="698" w:name="xdx_908_eus-gaap--ShareBasedCompensation"/>
      <w:bookmarkEnd w:id="698"/>
      <w:r>
        <w:rPr>
          <w:rFonts w:ascii="Times New Roman;Times;Serif" w:hAnsi="Times New Roman;Times;Serif"/>
          <w:b w:val="false"/>
          <w:i w:val="false"/>
          <w:caps w:val="false"/>
          <w:smallCaps w:val="false"/>
          <w:sz w:val="20"/>
        </w:rPr>
        <w:t xml:space="preserve">0.45 per share for a term of </w:t>
      </w:r>
      <w:bookmarkStart w:id="699" w:name="xdx_907_ecustom--SharebasedCompensationA"/>
      <w:bookmarkEnd w:id="699"/>
      <w:r>
        <w:rPr>
          <w:rFonts w:ascii="Times New Roman;Times;Serif" w:hAnsi="Times New Roman;Times;Serif"/>
          <w:b w:val="false"/>
          <w:i w:val="false"/>
          <w:caps w:val="false"/>
          <w:smallCaps w:val="false"/>
          <w:sz w:val="20"/>
        </w:rPr>
        <w:t>ten years, with vesting for three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granted an aggregate of </w:t>
      </w:r>
      <w:bookmarkStart w:id="700" w:name="xdx_900_eus-gaap--ShareBasedCompensation"/>
      <w:bookmarkEnd w:id="700"/>
      <w:r>
        <w:rPr>
          <w:rFonts w:ascii="Times New Roman;Times;Serif" w:hAnsi="Times New Roman;Times;Serif"/>
          <w:b w:val="false"/>
          <w:i w:val="false"/>
          <w:caps w:val="false"/>
          <w:smallCaps w:val="false"/>
          <w:sz w:val="20"/>
        </w:rPr>
        <w:t>250,000 options to purchase the Company’s common stock at a weighted average exercise price of $</w:t>
      </w:r>
      <w:bookmarkStart w:id="701" w:name="xdx_90E_eus-gaap--ShareBasedCompensation"/>
      <w:bookmarkEnd w:id="701"/>
      <w:r>
        <w:rPr>
          <w:rFonts w:ascii="Times New Roman;Times;Serif" w:hAnsi="Times New Roman;Times;Serif"/>
          <w:b w:val="false"/>
          <w:i w:val="false"/>
          <w:caps w:val="false"/>
          <w:smallCaps w:val="false"/>
          <w:sz w:val="20"/>
        </w:rPr>
        <w:t xml:space="preserve">0.84 per share for a term of </w:t>
      </w:r>
      <w:bookmarkStart w:id="702" w:name="xdx_900_ecustom--SharebasedCompensationA"/>
      <w:bookmarkEnd w:id="702"/>
      <w:r>
        <w:rPr>
          <w:rFonts w:ascii="Times New Roman;Times;Serif" w:hAnsi="Times New Roman;Times;Serif"/>
          <w:b w:val="false"/>
          <w:i w:val="false"/>
          <w:caps w:val="false"/>
          <w:smallCaps w:val="false"/>
          <w:sz w:val="20"/>
        </w:rPr>
        <w:t>ten years, with vesting for three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related to stock options recognized during the years ended December 31, 2025 and 2024, was $</w:t>
      </w:r>
      <w:bookmarkStart w:id="703" w:name="xdx_90B_eus-gaap--AllocatedShareBasedCom"/>
      <w:bookmarkEnd w:id="703"/>
      <w:r>
        <w:rPr>
          <w:rFonts w:ascii="Times New Roman;Times;Serif" w:hAnsi="Times New Roman;Times;Serif"/>
          <w:b w:val="false"/>
          <w:i w:val="false"/>
          <w:caps w:val="false"/>
          <w:smallCaps w:val="false"/>
          <w:sz w:val="20"/>
        </w:rPr>
        <w:t>1.1 million and $</w:t>
      </w:r>
      <w:bookmarkStart w:id="704" w:name="xdx_903_eus-gaap--AllocatedShareBasedCom"/>
      <w:bookmarkEnd w:id="704"/>
      <w:r>
        <w:rPr>
          <w:rFonts w:ascii="Times New Roman;Times;Serif" w:hAnsi="Times New Roman;Times;Serif"/>
          <w:b w:val="false"/>
          <w:i w:val="false"/>
          <w:caps w:val="false"/>
          <w:smallCaps w:val="false"/>
          <w:sz w:val="20"/>
        </w:rPr>
        <w:t>700, respectively, which is presented within General and administrative expenses in the Consolidated Statements of Operations. As of December 31, 2025, there was no unrecognized compensation expense related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in connection with the Company’s acquisition of Streamex Exchange, the Company entered into an amendment to the Executive Employment Agreement with the Company’s former Chief Executive Officer and Chairman of the Board. Pursuant to the amendment, all previously granted equity awards to the former Chief Executive Officer and Chairman of the Board including vested and unvested stock options were accelerated and deemed fully vested and nonforfeitable as of May 28, 2025. In addition, the post-resignation exercise period for all vested options was extended to the later of the original expiration date or 36 months following the transaction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modification, the Company recognized incremental stock-based compensation expense of $</w:t>
      </w:r>
      <w:bookmarkStart w:id="705" w:name="xdx_907_eus-gaap--EmployeeBenefitsAndSha"/>
      <w:bookmarkEnd w:id="705"/>
      <w:r>
        <w:rPr>
          <w:rFonts w:ascii="Times New Roman;Times;Serif" w:hAnsi="Times New Roman;Times;Serif"/>
          <w:b w:val="false"/>
          <w:i w:val="false"/>
          <w:caps w:val="false"/>
          <w:smallCaps w:val="false"/>
          <w:sz w:val="20"/>
        </w:rPr>
        <w:t>451 during the year ended December 31, 2025, which is included in the total stock based compensation expense disclosed above. No unrecognized compensation expense remains related to the former Chief Executive Officer’s equity awards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6" w:name="xdx_896_eus-gaap--ScheduleOfShareBasedPa"/>
      <w:bookmarkEnd w:id="706"/>
      <w:r>
        <w:rPr>
          <w:rFonts w:ascii="Times New Roman;Times;Serif" w:hAnsi="Times New Roman;Times;Serif"/>
          <w:b w:val="false"/>
          <w:i w:val="false"/>
          <w:caps w:val="false"/>
          <w:smallCaps w:val="false"/>
          <w:sz w:val="20"/>
        </w:rPr>
        <w:t>During the year ended December 31, 2025, the Company granted options to purchase shares of its common stock, which were valued using the Black-Scholes option pricing model. The following assumptions were used to calculate the fair value of the options granted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707" w:name="xdx_8B5_zPTir4LlQVXi"/>
      <w:bookmarkEnd w:id="707"/>
      <w:r>
        <w:rPr>
          <w:rFonts w:ascii="Times New Roman;Times;Serif" w:hAnsi="Times New Roman;Times;Serif"/>
          <w:b w:val="false"/>
          <w:i w:val="false"/>
          <w:caps w:val="false"/>
          <w:smallCaps w:val="false"/>
          <w:sz w:val="20"/>
        </w:rPr>
        <w:t>SCHEDULE OF OPTIONS GRANTED ASSUMPTIONS USING BLACK-SCHOLES OPTION</w:t>
      </w:r>
    </w:p>
    <w:tbl>
      <w:tblPr>
        <w:tblW w:w="5885" w:type="dxa"/>
        <w:jc w:val="left"/>
        <w:tblInd w:w="0" w:type="dxa"/>
        <w:tblLayout w:type="fixed"/>
        <w:tblCellMar>
          <w:top w:w="0" w:type="dxa"/>
          <w:left w:w="0" w:type="dxa"/>
          <w:bottom w:w="28" w:type="dxa"/>
          <w:right w:w="0" w:type="dxa"/>
        </w:tblCellMar>
      </w:tblPr>
      <w:tblGrid>
        <w:gridCol w:w="3680"/>
        <w:gridCol w:w="60"/>
        <w:gridCol w:w="140"/>
        <w:gridCol w:w="680"/>
        <w:gridCol w:w="215"/>
        <w:gridCol w:w="60"/>
        <w:gridCol w:w="140"/>
        <w:gridCol w:w="680"/>
        <w:gridCol w:w="230"/>
      </w:tblGrid>
      <w:tr>
        <w:trPr/>
        <w:tc>
          <w:tcPr>
            <w:tcW w:w="3680" w:type="dxa"/>
            <w:tcBorders>
              <w:bottom w:val="single" w:sz="8" w:space="0" w:color="000000"/>
            </w:tcBorders>
            <w:vAlign w:val="center"/>
          </w:tcPr>
          <w:p>
            <w:pPr>
              <w:pStyle w:val="TableContents"/>
              <w:bidi w:val="0"/>
              <w:spacing w:before="0" w:after="283"/>
              <w:jc w:val="center"/>
              <w:rPr>
                <w:b/>
              </w:rPr>
            </w:pPr>
            <w:r>
              <w:rPr>
                <w:b/>
              </w:rPr>
              <w:t>Assumption</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Weighted average grant date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bookmarkStart w:id="708" w:name="xdx_904_eus-gaap--DerivativeLiabilityMea"/>
            <w:bookmarkEnd w:id="708"/>
            <w:r>
              <w:rPr/>
              <w:t>0.80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bookmarkStart w:id="709" w:name="xdx_906_eus-gaap--DerivativeLiabilityMea"/>
            <w:bookmarkEnd w:id="709"/>
            <w:r>
              <w:rPr/>
              <w:t>0.40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both"/>
              <w:rPr/>
            </w:pPr>
            <w:r>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10" w:name="xdx_901_eus-gaap--DerivativeLiabilityMea"/>
            <w:bookmarkEnd w:id="710"/>
            <w:r>
              <w:rPr/>
              <w:t>122.43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11" w:name="xdx_90A_eus-gaap--DerivativeLiabilityMea"/>
            <w:bookmarkEnd w:id="711"/>
            <w:r>
              <w:rPr/>
              <w:t>135.60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12" w:name="xdx_907_eus-gaap--DerivativeLiabilityMea"/>
            <w:bookmarkEnd w:id="712"/>
            <w:r>
              <w:rPr/>
              <w:t>4.32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13" w:name="xdx_902_eus-gaap--DerivativeLiabilityMea"/>
            <w:bookmarkEnd w:id="713"/>
            <w:r>
              <w:rPr/>
              <w:t>3.50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shd w:fill="FFFFFF" w:val="clear"/>
            <w:tcMar>
              <w:bottom w:w="0" w:type="dxa"/>
            </w:tcMar>
            <w:vAlign w:val="center"/>
          </w:tcPr>
          <w:p>
            <w:pPr>
              <w:pStyle w:val="TableContents"/>
              <w:bidi w:val="0"/>
              <w:spacing w:before="0" w:after="283"/>
              <w:jc w:val="both"/>
              <w:rPr/>
            </w:pPr>
            <w:r>
              <w:rPr/>
              <w:t>Expected 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14" w:name="xdx_906_eus-gaap--DerivativeLiabilityMea"/>
            <w:bookmarkEnd w:id="714"/>
            <w:r>
              <w:rPr/>
              <w:t>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15" w:name="xdx_906_eus-gaap--DerivativeLiabilityMea"/>
            <w:bookmarkEnd w:id="715"/>
            <w:r>
              <w:rPr/>
              <w:t>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Expected Term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16" w:name="xdx_90E_eus-gaap--DerivativeTermOfContra"/>
            <w:bookmarkEnd w:id="716"/>
            <w:r>
              <w:rPr/>
              <w:t>10.0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17" w:name="xdx_909_eus-gaap--DerivativeTermOfContra"/>
            <w:bookmarkEnd w:id="717"/>
            <w:r>
              <w:rPr/>
              <w:t>5.5</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718" w:name="xdx_8AB_zud5U1pBRjm"/>
      <w:bookmarkEnd w:id="71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9" w:name="xdx_892_ecustom--ScheduleOfWarrantsOrRig"/>
      <w:bookmarkEnd w:id="719"/>
      <w:r>
        <w:rPr>
          <w:rFonts w:ascii="Times New Roman;Times;Serif" w:hAnsi="Times New Roman;Times;Serif"/>
          <w:b w:val="false"/>
          <w:i w:val="false"/>
          <w:caps w:val="false"/>
          <w:smallCaps w:val="false"/>
          <w:sz w:val="20"/>
        </w:rPr>
        <w:t>The following table summarizes information with respect to outstanding warrants to purchase common stock of Streamex Corp. as of December 31, 2025:</w:t>
      </w:r>
    </w:p>
    <w:p>
      <w:pPr>
        <w:pStyle w:val="TextBody"/>
        <w:bidi w:val="0"/>
        <w:spacing w:before="0" w:after="0"/>
        <w:ind w:left="0" w:right="0" w:hanging="0"/>
        <w:jc w:val="both"/>
        <w:rPr>
          <w:caps w:val="false"/>
          <w:smallCaps w:val="false"/>
        </w:rPr>
      </w:pPr>
      <w:r>
        <w:rPr>
          <w:caps w:val="false"/>
          <w:smallCaps w:val="false"/>
        </w:rPr>
        <w:t> </w:t>
      </w:r>
      <w:bookmarkStart w:id="720" w:name="xdx_8B9_z2iMlVPBbEI1"/>
      <w:bookmarkEnd w:id="720"/>
      <w:r>
        <w:rPr>
          <w:rFonts w:ascii="Times New Roman;Times;Serif" w:hAnsi="Times New Roman;Times;Serif"/>
          <w:b w:val="false"/>
          <w:i w:val="false"/>
          <w:caps w:val="false"/>
          <w:smallCaps w:val="false"/>
          <w:sz w:val="20"/>
        </w:rPr>
        <w:t>SCHEDULE OF INFORMATION RELATED TO WARRANTS</w:t>
      </w:r>
    </w:p>
    <w:tbl>
      <w:tblPr>
        <w:tblW w:w="5563" w:type="dxa"/>
        <w:jc w:val="left"/>
        <w:tblInd w:w="0" w:type="dxa"/>
        <w:tblLayout w:type="fixed"/>
        <w:tblCellMar>
          <w:top w:w="0" w:type="dxa"/>
          <w:left w:w="0" w:type="dxa"/>
          <w:bottom w:w="28" w:type="dxa"/>
          <w:right w:w="0" w:type="dxa"/>
        </w:tblCellMar>
      </w:tblPr>
      <w:tblGrid>
        <w:gridCol w:w="239"/>
        <w:gridCol w:w="1235"/>
        <w:gridCol w:w="60"/>
        <w:gridCol w:w="60"/>
        <w:gridCol w:w="125"/>
        <w:gridCol w:w="2054"/>
        <w:gridCol w:w="60"/>
        <w:gridCol w:w="60"/>
        <w:gridCol w:w="1670"/>
      </w:tblGrid>
      <w:tr>
        <w:trPr/>
        <w:tc>
          <w:tcPr>
            <w:tcW w:w="1474" w:type="dxa"/>
            <w:gridSpan w:val="2"/>
            <w:tcBorders>
              <w:bottom w:val="single" w:sz="8" w:space="0" w:color="000000"/>
            </w:tcBorders>
            <w:vAlign w:val="center"/>
          </w:tcPr>
          <w:p>
            <w:pPr>
              <w:pStyle w:val="TableContents"/>
              <w:bidi w:val="0"/>
              <w:spacing w:before="0" w:after="283"/>
              <w:jc w:val="center"/>
              <w:rPr>
                <w:b/>
              </w:rPr>
            </w:pPr>
            <w:r>
              <w:rPr>
                <w:b/>
              </w:rPr>
              <w:t>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8" w:space="0" w:color="000000"/>
            </w:tcBorders>
            <w:vAlign w:val="center"/>
          </w:tcPr>
          <w:p>
            <w:pPr>
              <w:pStyle w:val="TableContents"/>
              <w:bidi w:val="0"/>
              <w:spacing w:before="0" w:after="283"/>
              <w:jc w:val="center"/>
              <w:rPr>
                <w:b/>
              </w:rPr>
            </w:pPr>
            <w:r>
              <w:rPr>
                <w:b/>
              </w:rPr>
              <w:t>Number of 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center"/>
              <w:rPr>
                <w:b/>
              </w:rPr>
            </w:pPr>
            <w:r>
              <w:rPr>
                <w:b/>
              </w:rPr>
              <w:t>Expiration Date</w:t>
            </w:r>
          </w:p>
        </w:tc>
      </w:tr>
      <w:tr>
        <w:trPr/>
        <w:tc>
          <w:tcPr>
            <w:tcW w:w="239" w:type="dxa"/>
            <w:tcBorders/>
            <w:shd w:fill="CCEEFF" w:val="clear"/>
            <w:tcMar>
              <w:bottom w:w="0" w:type="dxa"/>
            </w:tcMar>
            <w:vAlign w:val="center"/>
          </w:tcPr>
          <w:p>
            <w:pPr>
              <w:pStyle w:val="TableContents"/>
              <w:bidi w:val="0"/>
              <w:spacing w:before="0" w:after="283"/>
              <w:jc w:val="left"/>
              <w:rPr/>
            </w:pPr>
            <w:r>
              <w:rPr/>
              <w:t>$</w:t>
            </w:r>
            <w:bookmarkStart w:id="721" w:name="xdx_985_eus-gaap--ClassOfWarrantOrRightE"/>
            <w:bookmarkEnd w:id="721"/>
          </w:p>
        </w:tc>
        <w:tc>
          <w:tcPr>
            <w:tcW w:w="1235" w:type="dxa"/>
            <w:tcBorders/>
            <w:shd w:fill="CCEEFF" w:val="clear"/>
            <w:tcMar>
              <w:bottom w:w="0" w:type="dxa"/>
            </w:tcMar>
            <w:vAlign w:val="center"/>
          </w:tcPr>
          <w:p>
            <w:pPr>
              <w:pStyle w:val="TableContents"/>
              <w:bidi w:val="0"/>
              <w:spacing w:before="0" w:after="283"/>
              <w:jc w:val="right"/>
              <w:rPr/>
            </w:pPr>
            <w:r>
              <w:rPr/>
              <w:t>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22" w:name="xdx_987_eus-gaap--ClassOfWarrantOrRightO"/>
            <w:bookmarkEnd w:id="722"/>
          </w:p>
        </w:tc>
        <w:tc>
          <w:tcPr>
            <w:tcW w:w="2054" w:type="dxa"/>
            <w:tcBorders/>
            <w:shd w:fill="CCEEFF" w:val="clear"/>
            <w:tcMar>
              <w:bottom w:w="0" w:type="dxa"/>
            </w:tcMar>
            <w:vAlign w:val="center"/>
          </w:tcPr>
          <w:p>
            <w:pPr>
              <w:pStyle w:val="TableContents"/>
              <w:bidi w:val="0"/>
              <w:spacing w:before="0" w:after="283"/>
              <w:jc w:val="right"/>
              <w:rPr/>
            </w:pPr>
            <w:r>
              <w:rPr/>
              <w:t>11,982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3" w:name="xdx_989_ecustom--WarrantsExpirationDateD"/>
            <w:bookmarkEnd w:id="723"/>
          </w:p>
        </w:tc>
        <w:tc>
          <w:tcPr>
            <w:tcW w:w="1670" w:type="dxa"/>
            <w:tcBorders/>
            <w:shd w:fill="CCEEFF" w:val="clear"/>
            <w:tcMar>
              <w:bottom w:w="0" w:type="dxa"/>
            </w:tcMar>
            <w:vAlign w:val="center"/>
          </w:tcPr>
          <w:p>
            <w:pPr>
              <w:pStyle w:val="TableContents"/>
              <w:bidi w:val="0"/>
              <w:spacing w:before="0" w:after="283"/>
              <w:jc w:val="center"/>
              <w:rPr/>
            </w:pPr>
            <w:r>
              <w:rPr/>
              <w:t>Nov-29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24" w:name="xdx_988_eus-gaap--ClassOfWarrantOrRightE"/>
            <w:bookmarkEnd w:id="724"/>
          </w:p>
        </w:tc>
        <w:tc>
          <w:tcPr>
            <w:tcW w:w="1235" w:type="dxa"/>
            <w:tcBorders/>
            <w:shd w:fill="FFFFFF" w:val="clear"/>
            <w:tcMar>
              <w:bottom w:w="0" w:type="dxa"/>
            </w:tcMar>
            <w:vAlign w:val="center"/>
          </w:tcPr>
          <w:p>
            <w:pPr>
              <w:pStyle w:val="TableContents"/>
              <w:bidi w:val="0"/>
              <w:spacing w:before="0" w:after="283"/>
              <w:jc w:val="right"/>
              <w:rPr/>
            </w:pPr>
            <w:r>
              <w:rPr/>
              <w:t>0.9547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25" w:name="xdx_98B_eus-gaap--ClassOfWarrantOrRightO"/>
            <w:bookmarkEnd w:id="725"/>
          </w:p>
        </w:tc>
        <w:tc>
          <w:tcPr>
            <w:tcW w:w="2054" w:type="dxa"/>
            <w:tcBorders/>
            <w:shd w:fill="FFFFFF" w:val="clear"/>
            <w:tcMar>
              <w:bottom w:w="0" w:type="dxa"/>
            </w:tcMar>
            <w:vAlign w:val="center"/>
          </w:tcPr>
          <w:p>
            <w:pPr>
              <w:pStyle w:val="TableContents"/>
              <w:bidi w:val="0"/>
              <w:spacing w:before="0" w:after="283"/>
              <w:jc w:val="right"/>
              <w:rPr/>
            </w:pPr>
            <w:r>
              <w:rPr/>
              <w:t>665,900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26" w:name="xdx_982_ecustom--WarrantsExpirationDateD"/>
            <w:bookmarkEnd w:id="726"/>
          </w:p>
        </w:tc>
        <w:tc>
          <w:tcPr>
            <w:tcW w:w="1670" w:type="dxa"/>
            <w:tcBorders/>
            <w:shd w:fill="FFFFFF" w:val="clear"/>
            <w:tcMar>
              <w:bottom w:w="0" w:type="dxa"/>
            </w:tcMar>
            <w:vAlign w:val="center"/>
          </w:tcPr>
          <w:p>
            <w:pPr>
              <w:pStyle w:val="TableContents"/>
              <w:bidi w:val="0"/>
              <w:spacing w:before="0" w:after="283"/>
              <w:jc w:val="center"/>
              <w:rPr/>
            </w:pPr>
            <w:r>
              <w:rPr/>
              <w:t>Sep-28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27" w:name="xdx_984_eus-gaap--ClassOfWarrantOrRightE"/>
            <w:bookmarkEnd w:id="727"/>
          </w:p>
        </w:tc>
        <w:tc>
          <w:tcPr>
            <w:tcW w:w="1235" w:type="dxa"/>
            <w:tcBorders/>
            <w:shd w:fill="CCEEFF" w:val="clear"/>
            <w:tcMar>
              <w:bottom w:w="0" w:type="dxa"/>
            </w:tcMar>
            <w:vAlign w:val="center"/>
          </w:tcPr>
          <w:p>
            <w:pPr>
              <w:pStyle w:val="TableContents"/>
              <w:bidi w:val="0"/>
              <w:spacing w:before="0" w:after="283"/>
              <w:jc w:val="right"/>
              <w:rPr/>
            </w:pPr>
            <w:r>
              <w:rPr/>
              <w:t>3.3640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28" w:name="xdx_985_eus-gaap--ClassOfWarrantOrRightO"/>
            <w:bookmarkEnd w:id="728"/>
          </w:p>
        </w:tc>
        <w:tc>
          <w:tcPr>
            <w:tcW w:w="2054" w:type="dxa"/>
            <w:tcBorders/>
            <w:shd w:fill="CCEEFF" w:val="clear"/>
            <w:tcMar>
              <w:bottom w:w="0" w:type="dxa"/>
            </w:tcMar>
            <w:vAlign w:val="center"/>
          </w:tcPr>
          <w:p>
            <w:pPr>
              <w:pStyle w:val="TableContents"/>
              <w:bidi w:val="0"/>
              <w:spacing w:before="0" w:after="283"/>
              <w:jc w:val="right"/>
              <w:rPr/>
            </w:pPr>
            <w:r>
              <w:rPr/>
              <w:t>117,828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9" w:name="xdx_985_ecustom--WarrantsExpirationDateD"/>
            <w:bookmarkEnd w:id="729"/>
          </w:p>
        </w:tc>
        <w:tc>
          <w:tcPr>
            <w:tcW w:w="1670" w:type="dxa"/>
            <w:tcBorders/>
            <w:shd w:fill="CCEEFF" w:val="clear"/>
            <w:tcMar>
              <w:bottom w:w="0" w:type="dxa"/>
            </w:tcMar>
            <w:vAlign w:val="center"/>
          </w:tcPr>
          <w:p>
            <w:pPr>
              <w:pStyle w:val="TableContents"/>
              <w:bidi w:val="0"/>
              <w:spacing w:before="0" w:after="283"/>
              <w:jc w:val="center"/>
              <w:rPr/>
            </w:pPr>
            <w:r>
              <w:rPr/>
              <w:t>Jul-29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30" w:name="xdx_981_eus-gaap--ClassOfWarrantOrRightE"/>
            <w:bookmarkEnd w:id="730"/>
          </w:p>
        </w:tc>
        <w:tc>
          <w:tcPr>
            <w:tcW w:w="1235" w:type="dxa"/>
            <w:tcBorders/>
            <w:shd w:fill="FFFFFF" w:val="clear"/>
            <w:tcMar>
              <w:bottom w:w="0" w:type="dxa"/>
            </w:tcMar>
            <w:vAlign w:val="center"/>
          </w:tcPr>
          <w:p>
            <w:pPr>
              <w:pStyle w:val="TableContents"/>
              <w:bidi w:val="0"/>
              <w:spacing w:before="0" w:after="283"/>
              <w:jc w:val="right"/>
              <w:rPr/>
            </w:pPr>
            <w:r>
              <w:rPr/>
              <w:t>4.0660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31" w:name="xdx_982_eus-gaap--ClassOfWarrantOrRightO"/>
            <w:bookmarkEnd w:id="731"/>
          </w:p>
        </w:tc>
        <w:tc>
          <w:tcPr>
            <w:tcW w:w="2054"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32" w:name="xdx_98B_ecustom--WarrantsExpirationDateD"/>
            <w:bookmarkEnd w:id="732"/>
          </w:p>
        </w:tc>
        <w:tc>
          <w:tcPr>
            <w:tcW w:w="1670" w:type="dxa"/>
            <w:tcBorders/>
            <w:shd w:fill="FFFFFF" w:val="clear"/>
            <w:tcMar>
              <w:bottom w:w="0" w:type="dxa"/>
            </w:tcMar>
            <w:vAlign w:val="center"/>
          </w:tcPr>
          <w:p>
            <w:pPr>
              <w:pStyle w:val="TableContents"/>
              <w:bidi w:val="0"/>
              <w:spacing w:before="0" w:after="283"/>
              <w:jc w:val="center"/>
              <w:rPr/>
            </w:pPr>
            <w:r>
              <w:rPr/>
              <w:t>Nov-32</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33" w:name="xdx_987_eus-gaap--ClassOfWarrantOrRightE"/>
            <w:bookmarkEnd w:id="733"/>
          </w:p>
        </w:tc>
        <w:tc>
          <w:tcPr>
            <w:tcW w:w="1235" w:type="dxa"/>
            <w:tcBorders/>
            <w:shd w:fill="CCEEFF" w:val="clear"/>
            <w:tcMar>
              <w:bottom w:w="0" w:type="dxa"/>
            </w:tcMar>
            <w:vAlign w:val="center"/>
          </w:tcPr>
          <w:p>
            <w:pPr>
              <w:pStyle w:val="TableContents"/>
              <w:bidi w:val="0"/>
              <w:spacing w:before="0" w:after="283"/>
              <w:jc w:val="right"/>
              <w:rPr/>
            </w:pPr>
            <w:r>
              <w:rPr/>
              <w:t>4.4550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34" w:name="xdx_986_eus-gaap--ClassOfWarrantOrRightO"/>
            <w:bookmarkEnd w:id="734"/>
          </w:p>
        </w:tc>
        <w:tc>
          <w:tcPr>
            <w:tcW w:w="2054" w:type="dxa"/>
            <w:tcBorders/>
            <w:shd w:fill="CCEEFF" w:val="clear"/>
            <w:tcMar>
              <w:bottom w:w="0" w:type="dxa"/>
            </w:tcMar>
            <w:vAlign w:val="center"/>
          </w:tcPr>
          <w:p>
            <w:pPr>
              <w:pStyle w:val="TableContents"/>
              <w:bidi w:val="0"/>
              <w:spacing w:before="0" w:after="283"/>
              <w:jc w:val="right"/>
              <w:rPr/>
            </w:pPr>
            <w:r>
              <w:rPr/>
              <w:t>107,483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35" w:name="xdx_98A_ecustom--WarrantsExpirationDateD"/>
            <w:bookmarkEnd w:id="735"/>
          </w:p>
        </w:tc>
        <w:tc>
          <w:tcPr>
            <w:tcW w:w="1670" w:type="dxa"/>
            <w:tcBorders/>
            <w:shd w:fill="CCEEFF" w:val="clear"/>
            <w:tcMar>
              <w:bottom w:w="0" w:type="dxa"/>
            </w:tcMar>
            <w:vAlign w:val="center"/>
          </w:tcPr>
          <w:p>
            <w:pPr>
              <w:pStyle w:val="TableContents"/>
              <w:bidi w:val="0"/>
              <w:spacing w:before="0" w:after="283"/>
              <w:jc w:val="center"/>
              <w:rPr/>
            </w:pPr>
            <w:r>
              <w:rPr/>
              <w:t>Jun-28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36" w:name="xdx_985_eus-gaap--ClassOfWarrantOrRightE"/>
            <w:bookmarkEnd w:id="736"/>
          </w:p>
        </w:tc>
        <w:tc>
          <w:tcPr>
            <w:tcW w:w="1235" w:type="dxa"/>
            <w:tcBorders/>
            <w:shd w:fill="FFFFFF" w:val="clear"/>
            <w:tcMar>
              <w:bottom w:w="0" w:type="dxa"/>
            </w:tcMar>
            <w:vAlign w:val="center"/>
          </w:tcPr>
          <w:p>
            <w:pPr>
              <w:pStyle w:val="TableContents"/>
              <w:bidi w:val="0"/>
              <w:spacing w:before="0" w:after="283"/>
              <w:jc w:val="right"/>
              <w:rPr/>
            </w:pPr>
            <w:r>
              <w:rPr/>
              <w:t>4.6626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37" w:name="xdx_98E_eus-gaap--ClassOfWarrantOrRightO"/>
            <w:bookmarkEnd w:id="737"/>
          </w:p>
        </w:tc>
        <w:tc>
          <w:tcPr>
            <w:tcW w:w="2054" w:type="dxa"/>
            <w:tcBorders/>
            <w:shd w:fill="FFFFFF" w:val="clear"/>
            <w:tcMar>
              <w:bottom w:w="0" w:type="dxa"/>
            </w:tcMar>
            <w:vAlign w:val="center"/>
          </w:tcPr>
          <w:p>
            <w:pPr>
              <w:pStyle w:val="TableContents"/>
              <w:bidi w:val="0"/>
              <w:spacing w:before="0" w:after="283"/>
              <w:jc w:val="right"/>
              <w:rPr/>
            </w:pPr>
            <w:r>
              <w:rPr/>
              <w:t>5,580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38" w:name="xdx_988_ecustom--WarrantsExpirationDateD"/>
            <w:bookmarkEnd w:id="738"/>
          </w:p>
        </w:tc>
        <w:tc>
          <w:tcPr>
            <w:tcW w:w="1670" w:type="dxa"/>
            <w:tcBorders/>
            <w:shd w:fill="FFFFFF" w:val="clear"/>
            <w:tcMar>
              <w:bottom w:w="0" w:type="dxa"/>
            </w:tcMar>
            <w:vAlign w:val="center"/>
          </w:tcPr>
          <w:p>
            <w:pPr>
              <w:pStyle w:val="TableContents"/>
              <w:bidi w:val="0"/>
              <w:spacing w:before="0" w:after="283"/>
              <w:jc w:val="center"/>
              <w:rPr/>
            </w:pPr>
            <w:r>
              <w:rPr/>
              <w:t>Apr-29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39" w:name="xdx_988_eus-gaap--ClassOfWarrantOrRightE"/>
            <w:bookmarkEnd w:id="739"/>
          </w:p>
        </w:tc>
        <w:tc>
          <w:tcPr>
            <w:tcW w:w="1235" w:type="dxa"/>
            <w:tcBorders/>
            <w:shd w:fill="CCEEFF" w:val="clear"/>
            <w:tcMar>
              <w:bottom w:w="0" w:type="dxa"/>
            </w:tcMar>
            <w:vAlign w:val="center"/>
          </w:tcPr>
          <w:p>
            <w:pPr>
              <w:pStyle w:val="TableContents"/>
              <w:bidi w:val="0"/>
              <w:spacing w:before="0" w:after="283"/>
              <w:jc w:val="right"/>
              <w:rPr/>
            </w:pPr>
            <w:r>
              <w:rPr/>
              <w:t>4.9252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40" w:name="xdx_98E_eus-gaap--ClassOfWarrantOrRightO"/>
            <w:bookmarkEnd w:id="740"/>
          </w:p>
        </w:tc>
        <w:tc>
          <w:tcPr>
            <w:tcW w:w="2054" w:type="dxa"/>
            <w:tcBorders/>
            <w:shd w:fill="CCEEFF" w:val="clear"/>
            <w:tcMar>
              <w:bottom w:w="0" w:type="dxa"/>
            </w:tcMar>
            <w:vAlign w:val="center"/>
          </w:tcPr>
          <w:p>
            <w:pPr>
              <w:pStyle w:val="TableContents"/>
              <w:bidi w:val="0"/>
              <w:spacing w:before="0" w:after="283"/>
              <w:jc w:val="right"/>
              <w:rPr/>
            </w:pPr>
            <w:r>
              <w:rPr/>
              <w:t>49,550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1" w:name="xdx_986_ecustom--WarrantsExpirationDateD"/>
            <w:bookmarkEnd w:id="741"/>
          </w:p>
        </w:tc>
        <w:tc>
          <w:tcPr>
            <w:tcW w:w="1670" w:type="dxa"/>
            <w:tcBorders/>
            <w:shd w:fill="CCEEFF" w:val="clear"/>
            <w:tcMar>
              <w:bottom w:w="0" w:type="dxa"/>
            </w:tcMar>
            <w:vAlign w:val="center"/>
          </w:tcPr>
          <w:p>
            <w:pPr>
              <w:pStyle w:val="TableContents"/>
              <w:bidi w:val="0"/>
              <w:spacing w:before="0" w:after="283"/>
              <w:jc w:val="center"/>
              <w:rPr/>
            </w:pPr>
            <w:r>
              <w:rPr/>
              <w:t>Mar-29</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42" w:name="xdx_98C_eus-gaap--ClassOfWarrantOrRightE"/>
            <w:bookmarkEnd w:id="742"/>
          </w:p>
        </w:tc>
        <w:tc>
          <w:tcPr>
            <w:tcW w:w="1235" w:type="dxa"/>
            <w:tcBorders/>
            <w:shd w:fill="FFFFFF" w:val="clear"/>
            <w:tcMar>
              <w:bottom w:w="0" w:type="dxa"/>
            </w:tcMar>
            <w:vAlign w:val="center"/>
          </w:tcPr>
          <w:p>
            <w:pPr>
              <w:pStyle w:val="TableContents"/>
              <w:bidi w:val="0"/>
              <w:spacing w:before="0" w:after="283"/>
              <w:jc w:val="right"/>
              <w:rPr/>
            </w:pPr>
            <w:r>
              <w:rPr/>
              <w:t>4.9290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43" w:name="xdx_983_eus-gaap--ClassOfWarrantOrRightO"/>
            <w:bookmarkEnd w:id="743"/>
          </w:p>
        </w:tc>
        <w:tc>
          <w:tcPr>
            <w:tcW w:w="2054" w:type="dxa"/>
            <w:tcBorders/>
            <w:shd w:fill="FFFFFF" w:val="clear"/>
            <w:tcMar>
              <w:bottom w:w="0" w:type="dxa"/>
            </w:tcMar>
            <w:vAlign w:val="center"/>
          </w:tcPr>
          <w:p>
            <w:pPr>
              <w:pStyle w:val="TableContents"/>
              <w:bidi w:val="0"/>
              <w:spacing w:before="0" w:after="283"/>
              <w:jc w:val="right"/>
              <w:rPr/>
            </w:pPr>
            <w:r>
              <w:rPr/>
              <w:t>71,593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44" w:name="xdx_988_ecustom--WarrantsExpirationDateD"/>
            <w:bookmarkEnd w:id="744"/>
          </w:p>
        </w:tc>
        <w:tc>
          <w:tcPr>
            <w:tcW w:w="1670" w:type="dxa"/>
            <w:tcBorders/>
            <w:shd w:fill="FFFFFF" w:val="clear"/>
            <w:tcMar>
              <w:bottom w:w="0" w:type="dxa"/>
            </w:tcMar>
            <w:vAlign w:val="center"/>
          </w:tcPr>
          <w:p>
            <w:pPr>
              <w:pStyle w:val="TableContents"/>
              <w:bidi w:val="0"/>
              <w:spacing w:before="0" w:after="283"/>
              <w:jc w:val="center"/>
              <w:rPr/>
            </w:pPr>
            <w:r>
              <w:rPr/>
              <w:t>Mar-29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45" w:name="xdx_987_eus-gaap--ClassOfWarrantOrRightE"/>
            <w:bookmarkEnd w:id="745"/>
          </w:p>
        </w:tc>
        <w:tc>
          <w:tcPr>
            <w:tcW w:w="1235" w:type="dxa"/>
            <w:tcBorders/>
            <w:shd w:fill="CCEEFF" w:val="clear"/>
            <w:tcMar>
              <w:bottom w:w="0" w:type="dxa"/>
            </w:tcMar>
            <w:vAlign w:val="center"/>
          </w:tcPr>
          <w:p>
            <w:pPr>
              <w:pStyle w:val="TableContents"/>
              <w:bidi w:val="0"/>
              <w:spacing w:before="0" w:after="283"/>
              <w:jc w:val="right"/>
              <w:rPr/>
            </w:pPr>
            <w:r>
              <w:rPr/>
              <w:t>5.1358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46" w:name="xdx_982_eus-gaap--ClassOfWarrantOrRightO"/>
            <w:bookmarkEnd w:id="746"/>
          </w:p>
        </w:tc>
        <w:tc>
          <w:tcPr>
            <w:tcW w:w="2054" w:type="dxa"/>
            <w:tcBorders/>
            <w:shd w:fill="CCEEFF" w:val="clear"/>
            <w:tcMar>
              <w:bottom w:w="0" w:type="dxa"/>
            </w:tcMar>
            <w:vAlign w:val="center"/>
          </w:tcPr>
          <w:p>
            <w:pPr>
              <w:pStyle w:val="TableContents"/>
              <w:bidi w:val="0"/>
              <w:spacing w:before="0" w:after="283"/>
              <w:jc w:val="right"/>
              <w:rPr/>
            </w:pPr>
            <w:r>
              <w:rPr/>
              <w:t>99,243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47" w:name="xdx_98F_ecustom--WarrantsExpirationDateD"/>
            <w:bookmarkEnd w:id="747"/>
          </w:p>
        </w:tc>
        <w:tc>
          <w:tcPr>
            <w:tcW w:w="1670" w:type="dxa"/>
            <w:tcBorders/>
            <w:shd w:fill="CCEEFF" w:val="clear"/>
            <w:tcMar>
              <w:bottom w:w="0" w:type="dxa"/>
            </w:tcMar>
            <w:vAlign w:val="center"/>
          </w:tcPr>
          <w:p>
            <w:pPr>
              <w:pStyle w:val="TableContents"/>
              <w:bidi w:val="0"/>
              <w:spacing w:before="0" w:after="283"/>
              <w:jc w:val="center"/>
              <w:rPr/>
            </w:pPr>
            <w:r>
              <w:rPr/>
              <w:t>Jul-28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48" w:name="xdx_98A_eus-gaap--ClassOfWarrantOrRightE"/>
            <w:bookmarkEnd w:id="748"/>
          </w:p>
        </w:tc>
        <w:tc>
          <w:tcPr>
            <w:tcW w:w="1235" w:type="dxa"/>
            <w:tcBorders/>
            <w:shd w:fill="FFFFFF" w:val="clear"/>
            <w:tcMar>
              <w:bottom w:w="0" w:type="dxa"/>
            </w:tcMar>
            <w:vAlign w:val="center"/>
          </w:tcPr>
          <w:p>
            <w:pPr>
              <w:pStyle w:val="TableContents"/>
              <w:bidi w:val="0"/>
              <w:spacing w:before="0" w:after="283"/>
              <w:jc w:val="right"/>
              <w:rPr/>
            </w:pPr>
            <w:r>
              <w:rPr/>
              <w:t>7.1810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49" w:name="xdx_983_eus-gaap--ClassOfWarrantOrRightO"/>
            <w:bookmarkEnd w:id="749"/>
          </w:p>
        </w:tc>
        <w:tc>
          <w:tcPr>
            <w:tcW w:w="2054" w:type="dxa"/>
            <w:tcBorders/>
            <w:shd w:fill="FFFFFF" w:val="clear"/>
            <w:tcMar>
              <w:bottom w:w="0" w:type="dxa"/>
            </w:tcMar>
            <w:vAlign w:val="center"/>
          </w:tcPr>
          <w:p>
            <w:pPr>
              <w:pStyle w:val="TableContents"/>
              <w:bidi w:val="0"/>
              <w:spacing w:before="0" w:after="283"/>
              <w:jc w:val="right"/>
              <w:rPr/>
            </w:pPr>
            <w:r>
              <w:rPr/>
              <w:t>83,270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50" w:name="xdx_980_ecustom--WarrantsExpirationDateD"/>
            <w:bookmarkEnd w:id="750"/>
          </w:p>
        </w:tc>
        <w:tc>
          <w:tcPr>
            <w:tcW w:w="1670" w:type="dxa"/>
            <w:tcBorders/>
            <w:shd w:fill="FFFFFF" w:val="clear"/>
            <w:tcMar>
              <w:bottom w:w="0" w:type="dxa"/>
            </w:tcMar>
            <w:vAlign w:val="center"/>
          </w:tcPr>
          <w:p>
            <w:pPr>
              <w:pStyle w:val="TableContents"/>
              <w:bidi w:val="0"/>
              <w:spacing w:before="0" w:after="283"/>
              <w:jc w:val="center"/>
              <w:rPr/>
            </w:pPr>
            <w:r>
              <w:rPr/>
              <w:t>Jul-28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51" w:name="xdx_988_eus-gaap--ClassOfWarrantOrRightE"/>
            <w:bookmarkEnd w:id="751"/>
          </w:p>
        </w:tc>
        <w:tc>
          <w:tcPr>
            <w:tcW w:w="1235" w:type="dxa"/>
            <w:tcBorders/>
            <w:shd w:fill="CCEEFF" w:val="clear"/>
            <w:tcMar>
              <w:bottom w:w="0" w:type="dxa"/>
            </w:tcMar>
            <w:vAlign w:val="center"/>
          </w:tcPr>
          <w:p>
            <w:pPr>
              <w:pStyle w:val="TableContents"/>
              <w:bidi w:val="0"/>
              <w:spacing w:before="0" w:after="283"/>
              <w:jc w:val="right"/>
              <w:rPr/>
            </w:pPr>
            <w:r>
              <w:rPr/>
              <w:t>7.5020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52" w:name="xdx_984_eus-gaap--ClassOfWarrantOrRightO"/>
            <w:bookmarkEnd w:id="752"/>
          </w:p>
        </w:tc>
        <w:tc>
          <w:tcPr>
            <w:tcW w:w="2054" w:type="dxa"/>
            <w:tcBorders/>
            <w:shd w:fill="CCEEFF" w:val="clear"/>
            <w:tcMar>
              <w:bottom w:w="0" w:type="dxa"/>
            </w:tcMar>
            <w:vAlign w:val="center"/>
          </w:tcPr>
          <w:p>
            <w:pPr>
              <w:pStyle w:val="TableContents"/>
              <w:bidi w:val="0"/>
              <w:spacing w:before="0" w:after="283"/>
              <w:jc w:val="right"/>
              <w:rPr/>
            </w:pPr>
            <w:r>
              <w:rPr/>
              <w:t>9,846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53" w:name="xdx_983_ecustom--WarrantsExpirationDateD"/>
            <w:bookmarkEnd w:id="753"/>
          </w:p>
        </w:tc>
        <w:tc>
          <w:tcPr>
            <w:tcW w:w="1670" w:type="dxa"/>
            <w:tcBorders/>
            <w:shd w:fill="CCEEFF" w:val="clear"/>
            <w:tcMar>
              <w:bottom w:w="0" w:type="dxa"/>
            </w:tcMar>
            <w:vAlign w:val="center"/>
          </w:tcPr>
          <w:p>
            <w:pPr>
              <w:pStyle w:val="TableContents"/>
              <w:bidi w:val="0"/>
              <w:spacing w:before="0" w:after="283"/>
              <w:jc w:val="center"/>
              <w:rPr/>
            </w:pPr>
            <w:r>
              <w:rPr/>
              <w:t>Jul-28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54" w:name="xdx_985_eus-gaap--ClassOfWarrantOrRightE"/>
            <w:bookmarkEnd w:id="754"/>
          </w:p>
        </w:tc>
        <w:tc>
          <w:tcPr>
            <w:tcW w:w="1235" w:type="dxa"/>
            <w:tcBorders/>
            <w:shd w:fill="FFFFFF" w:val="clear"/>
            <w:tcMar>
              <w:bottom w:w="0" w:type="dxa"/>
            </w:tcMar>
            <w:vAlign w:val="center"/>
          </w:tcPr>
          <w:p>
            <w:pPr>
              <w:pStyle w:val="TableContents"/>
              <w:bidi w:val="0"/>
              <w:spacing w:before="0" w:after="283"/>
              <w:jc w:val="right"/>
              <w:rPr/>
            </w:pPr>
            <w:r>
              <w:rPr/>
              <w:t>7.9630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55" w:name="xdx_98F_eus-gaap--ClassOfWarrantOrRightO"/>
            <w:bookmarkEnd w:id="755"/>
          </w:p>
        </w:tc>
        <w:tc>
          <w:tcPr>
            <w:tcW w:w="2054" w:type="dxa"/>
            <w:tcBorders/>
            <w:shd w:fill="FFFFFF" w:val="clear"/>
            <w:tcMar>
              <w:bottom w:w="0" w:type="dxa"/>
            </w:tcMar>
            <w:vAlign w:val="center"/>
          </w:tcPr>
          <w:p>
            <w:pPr>
              <w:pStyle w:val="TableContents"/>
              <w:bidi w:val="0"/>
              <w:spacing w:before="0" w:after="283"/>
              <w:jc w:val="right"/>
              <w:rPr/>
            </w:pPr>
            <w:r>
              <w:rPr/>
              <w:t>21,369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56" w:name="xdx_98B_ecustom--WarrantsExpirationDateD"/>
            <w:bookmarkEnd w:id="756"/>
          </w:p>
        </w:tc>
        <w:tc>
          <w:tcPr>
            <w:tcW w:w="1670" w:type="dxa"/>
            <w:tcBorders/>
            <w:shd w:fill="FFFFFF" w:val="clear"/>
            <w:tcMar>
              <w:bottom w:w="0" w:type="dxa"/>
            </w:tcMar>
            <w:vAlign w:val="center"/>
          </w:tcPr>
          <w:p>
            <w:pPr>
              <w:pStyle w:val="TableContents"/>
              <w:bidi w:val="0"/>
              <w:spacing w:before="0" w:after="283"/>
              <w:jc w:val="center"/>
              <w:rPr/>
            </w:pPr>
            <w:r>
              <w:rPr/>
              <w:t>Aug-28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57" w:name="xdx_98C_eus-gaap--ClassOfWarrantOrRightE"/>
            <w:bookmarkEnd w:id="757"/>
          </w:p>
        </w:tc>
        <w:tc>
          <w:tcPr>
            <w:tcW w:w="1235" w:type="dxa"/>
            <w:tcBorders/>
            <w:shd w:fill="CCEEFF" w:val="clear"/>
            <w:tcMar>
              <w:bottom w:w="0" w:type="dxa"/>
            </w:tcMar>
            <w:vAlign w:val="center"/>
          </w:tcPr>
          <w:p>
            <w:pPr>
              <w:pStyle w:val="TableContents"/>
              <w:bidi w:val="0"/>
              <w:spacing w:before="0" w:after="283"/>
              <w:jc w:val="right"/>
              <w:rPr/>
            </w:pPr>
            <w:r>
              <w:rPr/>
              <w:t>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58" w:name="xdx_98C_eus-gaap--ClassOfWarrantOrRightO"/>
            <w:bookmarkEnd w:id="758"/>
          </w:p>
        </w:tc>
        <w:tc>
          <w:tcPr>
            <w:tcW w:w="2054" w:type="dxa"/>
            <w:tcBorders/>
            <w:shd w:fill="CCEEFF" w:val="clear"/>
            <w:tcMar>
              <w:bottom w:w="0" w:type="dxa"/>
            </w:tcMar>
            <w:vAlign w:val="center"/>
          </w:tcPr>
          <w:p>
            <w:pPr>
              <w:pStyle w:val="TableContents"/>
              <w:bidi w:val="0"/>
              <w:spacing w:before="0" w:after="283"/>
              <w:jc w:val="right"/>
              <w:rPr/>
            </w:pPr>
            <w:r>
              <w:rPr/>
              <w:t>21,709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59" w:name="xdx_988_ecustom--WarrantsExpirationDateD"/>
            <w:bookmarkEnd w:id="759"/>
          </w:p>
        </w:tc>
        <w:tc>
          <w:tcPr>
            <w:tcW w:w="1670" w:type="dxa"/>
            <w:tcBorders/>
            <w:shd w:fill="CCEEFF" w:val="clear"/>
            <w:tcMar>
              <w:bottom w:w="0" w:type="dxa"/>
            </w:tcMar>
            <w:vAlign w:val="center"/>
          </w:tcPr>
          <w:p>
            <w:pPr>
              <w:pStyle w:val="TableContents"/>
              <w:bidi w:val="0"/>
              <w:spacing w:before="0" w:after="283"/>
              <w:jc w:val="center"/>
              <w:rPr/>
            </w:pPr>
            <w:r>
              <w:rPr/>
              <w:t>Jun-27</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60" w:name="xdx_982_eus-gaap--ClassOfWarrantOrRightE"/>
            <w:bookmarkEnd w:id="760"/>
          </w:p>
        </w:tc>
        <w:tc>
          <w:tcPr>
            <w:tcW w:w="1235" w:type="dxa"/>
            <w:tcBorders/>
            <w:shd w:fill="FFFFFF" w:val="clear"/>
            <w:tcMar>
              <w:bottom w:w="0" w:type="dxa"/>
            </w:tcMar>
            <w:vAlign w:val="center"/>
          </w:tcPr>
          <w:p>
            <w:pPr>
              <w:pStyle w:val="TableContents"/>
              <w:bidi w:val="0"/>
              <w:spacing w:before="0" w:after="283"/>
              <w:jc w:val="right"/>
              <w:rPr/>
            </w:pPr>
            <w:r>
              <w:rPr/>
              <w:t>9.5960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61" w:name="xdx_98A_eus-gaap--ClassOfWarrantOrRightO"/>
            <w:bookmarkEnd w:id="761"/>
          </w:p>
        </w:tc>
        <w:tc>
          <w:tcPr>
            <w:tcW w:w="2054" w:type="dxa"/>
            <w:tcBorders/>
            <w:shd w:fill="FFFFFF" w:val="clear"/>
            <w:tcMar>
              <w:bottom w:w="0" w:type="dxa"/>
            </w:tcMar>
            <w:vAlign w:val="center"/>
          </w:tcPr>
          <w:p>
            <w:pPr>
              <w:pStyle w:val="TableContents"/>
              <w:bidi w:val="0"/>
              <w:spacing w:before="0" w:after="283"/>
              <w:jc w:val="right"/>
              <w:rPr/>
            </w:pPr>
            <w:r>
              <w:rPr/>
              <w:t>84,390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62" w:name="xdx_98C_ecustom--WarrantsExpirationDateD"/>
            <w:bookmarkEnd w:id="762"/>
          </w:p>
        </w:tc>
        <w:tc>
          <w:tcPr>
            <w:tcW w:w="1670" w:type="dxa"/>
            <w:tcBorders/>
            <w:shd w:fill="FFFFFF" w:val="clear"/>
            <w:tcMar>
              <w:bottom w:w="0" w:type="dxa"/>
            </w:tcMar>
            <w:vAlign w:val="center"/>
          </w:tcPr>
          <w:p>
            <w:pPr>
              <w:pStyle w:val="TableContents"/>
              <w:bidi w:val="0"/>
              <w:spacing w:before="0" w:after="283"/>
              <w:jc w:val="center"/>
              <w:rPr/>
            </w:pPr>
            <w:r>
              <w:rPr/>
              <w:t>Jan-29</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63" w:name="xdx_989_eus-gaap--ClassOfWarrantOrRightE"/>
            <w:bookmarkEnd w:id="763"/>
          </w:p>
        </w:tc>
        <w:tc>
          <w:tcPr>
            <w:tcW w:w="1235" w:type="dxa"/>
            <w:tcBorders/>
            <w:shd w:fill="CCEEFF" w:val="clear"/>
            <w:tcMar>
              <w:bottom w:w="0" w:type="dxa"/>
            </w:tcMar>
            <w:vAlign w:val="center"/>
          </w:tcPr>
          <w:p>
            <w:pPr>
              <w:pStyle w:val="TableContents"/>
              <w:bidi w:val="0"/>
              <w:spacing w:before="0" w:after="283"/>
              <w:jc w:val="right"/>
              <w:rPr/>
            </w:pPr>
            <w:r>
              <w:rPr/>
              <w:t>10.0992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64" w:name="xdx_987_eus-gaap--ClassOfWarrantOrRightO"/>
            <w:bookmarkEnd w:id="764"/>
          </w:p>
        </w:tc>
        <w:tc>
          <w:tcPr>
            <w:tcW w:w="2054" w:type="dxa"/>
            <w:tcBorders/>
            <w:shd w:fill="CCEEFF" w:val="clear"/>
            <w:tcMar>
              <w:bottom w:w="0" w:type="dxa"/>
            </w:tcMar>
            <w:vAlign w:val="center"/>
          </w:tcPr>
          <w:p>
            <w:pPr>
              <w:pStyle w:val="TableContents"/>
              <w:bidi w:val="0"/>
              <w:spacing w:before="0" w:after="283"/>
              <w:jc w:val="right"/>
              <w:rPr/>
            </w:pPr>
            <w:r>
              <w:rPr/>
              <w:t>19,118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65" w:name="xdx_982_ecustom--WarrantsExpirationDateD"/>
            <w:bookmarkEnd w:id="765"/>
          </w:p>
        </w:tc>
        <w:tc>
          <w:tcPr>
            <w:tcW w:w="1670" w:type="dxa"/>
            <w:tcBorders/>
            <w:shd w:fill="CCEEFF" w:val="clear"/>
            <w:tcMar>
              <w:bottom w:w="0" w:type="dxa"/>
            </w:tcMar>
            <w:vAlign w:val="center"/>
          </w:tcPr>
          <w:p>
            <w:pPr>
              <w:pStyle w:val="TableContents"/>
              <w:bidi w:val="0"/>
              <w:spacing w:before="0" w:after="283"/>
              <w:jc w:val="center"/>
              <w:rPr/>
            </w:pPr>
            <w:r>
              <w:rPr/>
              <w:t>Aug-28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66" w:name="xdx_982_eus-gaap--ClassOfWarrantOrRightE"/>
            <w:bookmarkEnd w:id="766"/>
          </w:p>
        </w:tc>
        <w:tc>
          <w:tcPr>
            <w:tcW w:w="1235" w:type="dxa"/>
            <w:tcBorders/>
            <w:shd w:fill="FFFFFF" w:val="clear"/>
            <w:tcMar>
              <w:bottom w:w="0" w:type="dxa"/>
            </w:tcMar>
            <w:vAlign w:val="center"/>
          </w:tcPr>
          <w:p>
            <w:pPr>
              <w:pStyle w:val="TableContents"/>
              <w:bidi w:val="0"/>
              <w:spacing w:before="0" w:after="283"/>
              <w:jc w:val="right"/>
              <w:rPr/>
            </w:pPr>
            <w:r>
              <w:rPr/>
              <w:t>10.2600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67" w:name="xdx_98C_eus-gaap--ClassOfWarrantOrRightO"/>
            <w:bookmarkEnd w:id="767"/>
          </w:p>
        </w:tc>
        <w:tc>
          <w:tcPr>
            <w:tcW w:w="2054" w:type="dxa"/>
            <w:tcBorders/>
            <w:shd w:fill="FFFFFF" w:val="clear"/>
            <w:tcMar>
              <w:bottom w:w="0" w:type="dxa"/>
            </w:tcMar>
            <w:vAlign w:val="center"/>
          </w:tcPr>
          <w:p>
            <w:pPr>
              <w:pStyle w:val="TableContents"/>
              <w:bidi w:val="0"/>
              <w:spacing w:before="0" w:after="283"/>
              <w:jc w:val="right"/>
              <w:rPr/>
            </w:pPr>
            <w:r>
              <w:rPr/>
              <w:t>51,705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68" w:name="xdx_98D_ecustom--WarrantsExpirationDateD"/>
            <w:bookmarkEnd w:id="768"/>
          </w:p>
        </w:tc>
        <w:tc>
          <w:tcPr>
            <w:tcW w:w="1670" w:type="dxa"/>
            <w:tcBorders/>
            <w:shd w:fill="FFFFFF" w:val="clear"/>
            <w:tcMar>
              <w:bottom w:w="0" w:type="dxa"/>
            </w:tcMar>
            <w:vAlign w:val="center"/>
          </w:tcPr>
          <w:p>
            <w:pPr>
              <w:pStyle w:val="TableContents"/>
              <w:bidi w:val="0"/>
              <w:spacing w:before="0" w:after="283"/>
              <w:jc w:val="center"/>
              <w:rPr/>
            </w:pPr>
            <w:r>
              <w:rPr/>
              <w:t>Sep-28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69" w:name="xdx_98A_eus-gaap--ClassOfWarrantOrRightE"/>
            <w:bookmarkEnd w:id="769"/>
          </w:p>
        </w:tc>
        <w:tc>
          <w:tcPr>
            <w:tcW w:w="1235" w:type="dxa"/>
            <w:tcBorders/>
            <w:shd w:fill="CCEEFF" w:val="clear"/>
            <w:tcMar>
              <w:bottom w:w="0" w:type="dxa"/>
            </w:tcMar>
            <w:vAlign w:val="center"/>
          </w:tcPr>
          <w:p>
            <w:pPr>
              <w:pStyle w:val="TableContents"/>
              <w:bidi w:val="0"/>
              <w:spacing w:before="0" w:after="283"/>
              <w:jc w:val="right"/>
              <w:rPr/>
            </w:pPr>
            <w:r>
              <w:rPr/>
              <w:t>10.4678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70" w:name="xdx_98E_eus-gaap--ClassOfWarrantOrRightO"/>
            <w:bookmarkEnd w:id="770"/>
          </w:p>
        </w:tc>
        <w:tc>
          <w:tcPr>
            <w:tcW w:w="2054" w:type="dxa"/>
            <w:tcBorders/>
            <w:shd w:fill="CCEEFF" w:val="clear"/>
            <w:tcMar>
              <w:bottom w:w="0" w:type="dxa"/>
            </w:tcMar>
            <w:vAlign w:val="center"/>
          </w:tcPr>
          <w:p>
            <w:pPr>
              <w:pStyle w:val="TableContents"/>
              <w:bidi w:val="0"/>
              <w:spacing w:before="0" w:after="283"/>
              <w:jc w:val="right"/>
              <w:rPr/>
            </w:pPr>
            <w:r>
              <w:rPr/>
              <w:t>84,296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71" w:name="xdx_984_ecustom--WarrantsExpirationDateD"/>
            <w:bookmarkEnd w:id="771"/>
          </w:p>
        </w:tc>
        <w:tc>
          <w:tcPr>
            <w:tcW w:w="1670" w:type="dxa"/>
            <w:tcBorders/>
            <w:shd w:fill="CCEEFF" w:val="clear"/>
            <w:tcMar>
              <w:bottom w:w="0" w:type="dxa"/>
            </w:tcMar>
            <w:vAlign w:val="center"/>
          </w:tcPr>
          <w:p>
            <w:pPr>
              <w:pStyle w:val="TableContents"/>
              <w:bidi w:val="0"/>
              <w:spacing w:before="0" w:after="283"/>
              <w:jc w:val="center"/>
              <w:rPr/>
            </w:pPr>
            <w:r>
              <w:rPr/>
              <w:t>Sep-28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72" w:name="xdx_984_eus-gaap--ClassOfWarrantOrRightE"/>
            <w:bookmarkEnd w:id="772"/>
          </w:p>
        </w:tc>
        <w:tc>
          <w:tcPr>
            <w:tcW w:w="1235" w:type="dxa"/>
            <w:tcBorders/>
            <w:shd w:fill="FFFFFF" w:val="clear"/>
            <w:tcMar>
              <w:bottom w:w="0" w:type="dxa"/>
            </w:tcMar>
            <w:vAlign w:val="center"/>
          </w:tcPr>
          <w:p>
            <w:pPr>
              <w:pStyle w:val="TableContents"/>
              <w:bidi w:val="0"/>
              <w:spacing w:before="0" w:after="283"/>
              <w:jc w:val="right"/>
              <w:rPr/>
            </w:pPr>
            <w:r>
              <w:rPr/>
              <w:t>11.3000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73" w:name="xdx_98A_eus-gaap--ClassOfWarrantOrRightO"/>
            <w:bookmarkEnd w:id="773"/>
          </w:p>
        </w:tc>
        <w:tc>
          <w:tcPr>
            <w:tcW w:w="2054" w:type="dxa"/>
            <w:tcBorders/>
            <w:shd w:fill="FFFFFF" w:val="clear"/>
            <w:tcMar>
              <w:bottom w:w="0" w:type="dxa"/>
            </w:tcMar>
            <w:vAlign w:val="center"/>
          </w:tcPr>
          <w:p>
            <w:pPr>
              <w:pStyle w:val="TableContents"/>
              <w:bidi w:val="0"/>
              <w:spacing w:before="0" w:after="283"/>
              <w:jc w:val="right"/>
              <w:rPr/>
            </w:pPr>
            <w:r>
              <w:rPr/>
              <w:t>40,417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74" w:name="xdx_981_ecustom--WarrantsExpirationDateD"/>
            <w:bookmarkEnd w:id="774"/>
          </w:p>
        </w:tc>
        <w:tc>
          <w:tcPr>
            <w:tcW w:w="1670" w:type="dxa"/>
            <w:tcBorders/>
            <w:shd w:fill="FFFFFF" w:val="clear"/>
            <w:tcMar>
              <w:bottom w:w="0" w:type="dxa"/>
            </w:tcMar>
            <w:vAlign w:val="center"/>
          </w:tcPr>
          <w:p>
            <w:pPr>
              <w:pStyle w:val="TableContents"/>
              <w:bidi w:val="0"/>
              <w:spacing w:before="0" w:after="283"/>
              <w:jc w:val="center"/>
              <w:rPr/>
            </w:pPr>
            <w:r>
              <w:rPr/>
              <w:t>Oct-28</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75" w:name="xdx_98E_eus-gaap--ClassOfWarrantOrRightE"/>
            <w:bookmarkEnd w:id="775"/>
          </w:p>
        </w:tc>
        <w:tc>
          <w:tcPr>
            <w:tcW w:w="1235" w:type="dxa"/>
            <w:tcBorders/>
            <w:shd w:fill="CCEEFF" w:val="clear"/>
            <w:tcMar>
              <w:bottom w:w="0" w:type="dxa"/>
            </w:tcMar>
            <w:vAlign w:val="center"/>
          </w:tcPr>
          <w:p>
            <w:pPr>
              <w:pStyle w:val="TableContents"/>
              <w:bidi w:val="0"/>
              <w:spacing w:before="0" w:after="283"/>
              <w:jc w:val="right"/>
              <w:rPr/>
            </w:pPr>
            <w:r>
              <w:rPr/>
              <w:t>13.2800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bookmarkStart w:id="776" w:name="xdx_988_eus-gaap--ClassOfWarrantOrRightO"/>
            <w:bookmarkEnd w:id="776"/>
          </w:p>
        </w:tc>
        <w:tc>
          <w:tcPr>
            <w:tcW w:w="2054" w:type="dxa"/>
            <w:tcBorders/>
            <w:shd w:fill="CCEEFF" w:val="clear"/>
            <w:tcMar>
              <w:bottom w:w="0" w:type="dxa"/>
            </w:tcMar>
            <w:vAlign w:val="center"/>
          </w:tcPr>
          <w:p>
            <w:pPr>
              <w:pStyle w:val="TableContents"/>
              <w:bidi w:val="0"/>
              <w:spacing w:before="0" w:after="283"/>
              <w:jc w:val="right"/>
              <w:rPr/>
            </w:pPr>
            <w:r>
              <w:rPr/>
              <w:t>96,198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77" w:name="xdx_983_ecustom--WarrantsExpirationDateD"/>
            <w:bookmarkEnd w:id="777"/>
          </w:p>
        </w:tc>
        <w:tc>
          <w:tcPr>
            <w:tcW w:w="1670" w:type="dxa"/>
            <w:tcBorders/>
            <w:shd w:fill="CCEEFF" w:val="clear"/>
            <w:tcMar>
              <w:bottom w:w="0" w:type="dxa"/>
            </w:tcMar>
            <w:vAlign w:val="center"/>
          </w:tcPr>
          <w:p>
            <w:pPr>
              <w:pStyle w:val="TableContents"/>
              <w:bidi w:val="0"/>
              <w:spacing w:before="0" w:after="283"/>
              <w:jc w:val="center"/>
              <w:rPr/>
            </w:pPr>
            <w:r>
              <w:rPr/>
              <w:t>Nov-28</w:t>
            </w:r>
          </w:p>
        </w:tc>
      </w:tr>
      <w:tr>
        <w:trPr/>
        <w:tc>
          <w:tcPr>
            <w:tcW w:w="239" w:type="dxa"/>
            <w:tcBorders/>
            <w:shd w:fill="FFFFFF" w:val="clear"/>
            <w:tcMar>
              <w:bottom w:w="0" w:type="dxa"/>
            </w:tcMar>
            <w:vAlign w:val="center"/>
          </w:tcPr>
          <w:p>
            <w:pPr>
              <w:pStyle w:val="TableContents"/>
              <w:bidi w:val="0"/>
              <w:spacing w:before="0" w:after="283"/>
              <w:jc w:val="left"/>
              <w:rPr/>
            </w:pPr>
            <w:r>
              <w:rPr/>
              <w:t> </w:t>
            </w:r>
            <w:bookmarkStart w:id="778" w:name="xdx_986_eus-gaap--ClassOfWarrantOrRightE"/>
            <w:bookmarkEnd w:id="778"/>
          </w:p>
        </w:tc>
        <w:tc>
          <w:tcPr>
            <w:tcW w:w="1235" w:type="dxa"/>
            <w:tcBorders/>
            <w:shd w:fill="FFFFFF" w:val="clear"/>
            <w:tcMar>
              <w:bottom w:w="0" w:type="dxa"/>
            </w:tcMar>
            <w:vAlign w:val="center"/>
          </w:tcPr>
          <w:p>
            <w:pPr>
              <w:pStyle w:val="TableContents"/>
              <w:bidi w:val="0"/>
              <w:spacing w:before="0" w:after="283"/>
              <w:jc w:val="right"/>
              <w:rPr/>
            </w:pPr>
            <w:r>
              <w:rPr/>
              <w:t>48.0000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79" w:name="xdx_981_eus-gaap--ClassOfWarrantOrRightO"/>
            <w:bookmarkEnd w:id="779"/>
          </w:p>
        </w:tc>
        <w:tc>
          <w:tcPr>
            <w:tcW w:w="2054"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80" w:name="xdx_980_ecustom--WarrantsExpirationDateD"/>
            <w:bookmarkEnd w:id="780"/>
          </w:p>
        </w:tc>
        <w:tc>
          <w:tcPr>
            <w:tcW w:w="1670" w:type="dxa"/>
            <w:tcBorders/>
            <w:shd w:fill="FFFFFF" w:val="clear"/>
            <w:tcMar>
              <w:bottom w:w="0" w:type="dxa"/>
            </w:tcMar>
            <w:vAlign w:val="center"/>
          </w:tcPr>
          <w:p>
            <w:pPr>
              <w:pStyle w:val="TableContents"/>
              <w:bidi w:val="0"/>
              <w:spacing w:before="0" w:after="283"/>
              <w:jc w:val="center"/>
              <w:rPr/>
            </w:pPr>
            <w:r>
              <w:rPr/>
              <w:t>Jul-26</w:t>
            </w:r>
          </w:p>
        </w:tc>
      </w:tr>
      <w:tr>
        <w:trPr/>
        <w:tc>
          <w:tcPr>
            <w:tcW w:w="239" w:type="dxa"/>
            <w:tcBorders/>
            <w:shd w:fill="CCEEFF" w:val="clear"/>
            <w:tcMar>
              <w:bottom w:w="0" w:type="dxa"/>
            </w:tcMar>
            <w:vAlign w:val="center"/>
          </w:tcPr>
          <w:p>
            <w:pPr>
              <w:pStyle w:val="TableContents"/>
              <w:bidi w:val="0"/>
              <w:spacing w:before="0" w:after="283"/>
              <w:jc w:val="left"/>
              <w:rPr/>
            </w:pPr>
            <w:r>
              <w:rPr/>
              <w:t> </w:t>
            </w:r>
            <w:bookmarkStart w:id="781" w:name="xdx_98B_eus-gaap--ClassOfWarrantOrRightE"/>
            <w:bookmarkEnd w:id="781"/>
          </w:p>
        </w:tc>
        <w:tc>
          <w:tcPr>
            <w:tcW w:w="1235" w:type="dxa"/>
            <w:tcBorders/>
            <w:shd w:fill="CCEEFF" w:val="clear"/>
            <w:tcMar>
              <w:bottom w:w="0" w:type="dxa"/>
            </w:tcMar>
            <w:vAlign w:val="center"/>
          </w:tcPr>
          <w:p>
            <w:pPr>
              <w:pStyle w:val="TableContents"/>
              <w:bidi w:val="0"/>
              <w:spacing w:before="0" w:after="283"/>
              <w:jc w:val="right"/>
              <w:rPr/>
            </w:pPr>
            <w:r>
              <w:rPr/>
              <w:t>61.6000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bookmarkStart w:id="782" w:name="xdx_989_eus-gaap--ClassOfWarrantOrRightO"/>
            <w:bookmarkEnd w:id="782"/>
          </w:p>
        </w:tc>
        <w:tc>
          <w:tcPr>
            <w:tcW w:w="2054" w:type="dxa"/>
            <w:tcBorders>
              <w:bottom w:val="single" w:sz="8" w:space="0" w:color="000000"/>
            </w:tcBorders>
            <w:shd w:fill="CCEEFF" w:val="clear"/>
            <w:vAlign w:val="center"/>
          </w:tcPr>
          <w:p>
            <w:pPr>
              <w:pStyle w:val="TableContents"/>
              <w:bidi w:val="0"/>
              <w:spacing w:before="0" w:after="283"/>
              <w:jc w:val="right"/>
              <w:rPr/>
            </w:pPr>
            <w:r>
              <w:rPr/>
              <w:t>56,892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83" w:name="xdx_98F_ecustom--WarrantsExpirationDateD"/>
            <w:bookmarkEnd w:id="783"/>
          </w:p>
        </w:tc>
        <w:tc>
          <w:tcPr>
            <w:tcW w:w="1670" w:type="dxa"/>
            <w:tcBorders/>
            <w:shd w:fill="CCEEFF" w:val="clear"/>
            <w:tcMar>
              <w:bottom w:w="0" w:type="dxa"/>
            </w:tcMar>
            <w:vAlign w:val="center"/>
          </w:tcPr>
          <w:p>
            <w:pPr>
              <w:pStyle w:val="TableContents"/>
              <w:bidi w:val="0"/>
              <w:spacing w:before="0" w:after="283"/>
              <w:jc w:val="center"/>
              <w:rPr/>
            </w:pPr>
            <w:r>
              <w:rPr/>
              <w:t>Nov-27</w:t>
            </w:r>
          </w:p>
        </w:tc>
      </w:tr>
      <w:tr>
        <w:trPr/>
        <w:tc>
          <w:tcPr>
            <w:tcW w:w="239"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bookmarkStart w:id="784" w:name="xdx_984_eus-gaap--ClassOfWarrantOrRightO"/>
            <w:bookmarkEnd w:id="784"/>
          </w:p>
        </w:tc>
        <w:tc>
          <w:tcPr>
            <w:tcW w:w="2054" w:type="dxa"/>
            <w:tcBorders/>
            <w:shd w:fill="FFFFFF" w:val="clear"/>
            <w:tcMar>
              <w:bottom w:w="0" w:type="dxa"/>
            </w:tcMar>
            <w:vAlign w:val="center"/>
          </w:tcPr>
          <w:p>
            <w:pPr>
              <w:pStyle w:val="TableContents"/>
              <w:bidi w:val="0"/>
              <w:spacing w:before="0" w:after="283"/>
              <w:jc w:val="right"/>
              <w:rPr/>
            </w:pPr>
            <w:r>
              <w:rPr/>
              <w:t>1,735,869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85" w:name="xdx_8A9_zZmSKykcUZ1j"/>
      <w:bookmarkEnd w:id="7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17, 2024, the Company’s board of directors agreed to amend the existing </w:t>
      </w:r>
      <w:bookmarkStart w:id="786" w:name="xdx_908_eus-gaap--ClassOfWarrantOrRightN"/>
      <w:bookmarkEnd w:id="786"/>
      <w:r>
        <w:rPr>
          <w:rFonts w:ascii="Times New Roman;Times;Serif" w:hAnsi="Times New Roman;Times;Serif"/>
          <w:b w:val="false"/>
          <w:i w:val="false"/>
          <w:caps w:val="false"/>
          <w:smallCaps w:val="false"/>
          <w:sz w:val="20"/>
        </w:rPr>
        <w:t>391,703 warrants that were issued under the Securities Purchase Agreement dated May 1, 2024 with an exercise price of $</w:t>
      </w:r>
      <w:bookmarkStart w:id="787" w:name="xdx_909_eus-gaap--ClassOfWarrantOrRightE"/>
      <w:bookmarkEnd w:id="787"/>
      <w:r>
        <w:rPr>
          <w:rFonts w:ascii="Times New Roman;Times;Serif" w:hAnsi="Times New Roman;Times;Serif"/>
          <w:b w:val="false"/>
          <w:i w:val="false"/>
          <w:caps w:val="false"/>
          <w:smallCaps w:val="false"/>
          <w:sz w:val="20"/>
        </w:rPr>
        <w:t>1.398. Per the amendment the Company agreed to reduce the exercise price of the warrants to $</w:t>
      </w:r>
      <w:bookmarkStart w:id="788" w:name="xdx_908_eus-gaap--WarrantExercisePriceDe"/>
      <w:bookmarkEnd w:id="788"/>
      <w:r>
        <w:rPr>
          <w:rFonts w:ascii="Times New Roman;Times;Serif" w:hAnsi="Times New Roman;Times;Serif"/>
          <w:b w:val="false"/>
          <w:i w:val="false"/>
          <w:caps w:val="false"/>
          <w:smallCaps w:val="false"/>
          <w:sz w:val="20"/>
        </w:rPr>
        <w:t>0.30. The Company recognized $</w:t>
      </w:r>
      <w:bookmarkStart w:id="789" w:name="xdx_906_ecustom--ModificationExpense_pn3"/>
      <w:bookmarkEnd w:id="789"/>
      <w:r>
        <w:rPr>
          <w:rFonts w:ascii="Times New Roman;Times;Serif" w:hAnsi="Times New Roman;Times;Serif"/>
          <w:b w:val="false"/>
          <w:i w:val="false"/>
          <w:caps w:val="false"/>
          <w:smallCaps w:val="false"/>
          <w:sz w:val="20"/>
        </w:rPr>
        <w:t xml:space="preserve">15,102 modification expense related to the modifications during the year ended December 31, 2024. During the year ended December 31, 2024, the Company issued </w:t>
      </w:r>
      <w:bookmarkStart w:id="790" w:name="xdx_904_eus-gaap--ClassOfWarrantOrRightO"/>
      <w:bookmarkEnd w:id="790"/>
      <w:r>
        <w:rPr>
          <w:rFonts w:ascii="Times New Roman;Times;Serif" w:hAnsi="Times New Roman;Times;Serif"/>
          <w:b w:val="false"/>
          <w:i w:val="false"/>
          <w:caps w:val="false"/>
          <w:smallCaps w:val="false"/>
          <w:sz w:val="20"/>
        </w:rPr>
        <w:t xml:space="preserve">42,833 shares of its common stock upon cashless exercise of warrants to purchase an aggregate of </w:t>
      </w:r>
      <w:bookmarkStart w:id="791" w:name="xdx_906_eus-gaap--StockIssuedDuringPerio"/>
      <w:bookmarkEnd w:id="791"/>
      <w:r>
        <w:rPr>
          <w:rFonts w:ascii="Times New Roman;Times;Serif" w:hAnsi="Times New Roman;Times;Serif"/>
          <w:b w:val="false"/>
          <w:i w:val="false"/>
          <w:caps w:val="false"/>
          <w:smallCaps w:val="false"/>
          <w:sz w:val="20"/>
        </w:rPr>
        <w:t>51,352 shares of common stock, pursuant to the formula set forth in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issued warrants to purchase an aggregate of </w:t>
      </w:r>
      <w:bookmarkStart w:id="792" w:name="xdx_90E_eus-gaap--ClassOfWarrantOrRightN"/>
      <w:bookmarkEnd w:id="792"/>
      <w:r>
        <w:rPr>
          <w:rFonts w:ascii="Times New Roman;Times;Serif" w:hAnsi="Times New Roman;Times;Serif"/>
          <w:b w:val="false"/>
          <w:i w:val="false"/>
          <w:caps w:val="false"/>
          <w:smallCaps w:val="false"/>
          <w:sz w:val="20"/>
        </w:rPr>
        <w:t>2,202,697 shares of its common stock to investors at an average exercise price of $</w:t>
      </w:r>
      <w:bookmarkStart w:id="793" w:name="xdx_902_eus-gaap--ClassOfWarrantOrRightE"/>
      <w:bookmarkEnd w:id="793"/>
      <w:r>
        <w:rPr>
          <w:rFonts w:ascii="Times New Roman;Times;Serif" w:hAnsi="Times New Roman;Times;Serif"/>
          <w:b w:val="false"/>
          <w:i w:val="false"/>
          <w:caps w:val="false"/>
          <w:smallCaps w:val="false"/>
          <w:sz w:val="20"/>
        </w:rPr>
        <w:t>2.00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warrants to purchase an aggregate of </w:t>
      </w:r>
      <w:bookmarkStart w:id="794" w:name="xdx_90F_eus-gaap--ClassOfWarrantOrRightN"/>
      <w:bookmarkEnd w:id="794"/>
      <w:r>
        <w:rPr>
          <w:rFonts w:ascii="Times New Roman;Times;Serif" w:hAnsi="Times New Roman;Times;Serif"/>
          <w:b w:val="false"/>
          <w:i w:val="false"/>
          <w:caps w:val="false"/>
          <w:smallCaps w:val="false"/>
          <w:sz w:val="20"/>
        </w:rPr>
        <w:t>758,514 shares of its common stock to investors at an exercise price of $</w:t>
      </w:r>
      <w:bookmarkStart w:id="795" w:name="xdx_90B_eus-gaap--ClassOfWarrantOrRightE"/>
      <w:bookmarkEnd w:id="795"/>
      <w:r>
        <w:rPr>
          <w:rFonts w:ascii="Times New Roman;Times;Serif" w:hAnsi="Times New Roman;Times;Serif"/>
          <w:b w:val="false"/>
          <w:i w:val="false"/>
          <w:caps w:val="false"/>
          <w:smallCaps w:val="false"/>
          <w:sz w:val="20"/>
        </w:rPr>
        <w:t>0.9547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w:t>
      </w:r>
      <w:bookmarkStart w:id="796" w:name="xdx_902_ecustom--StockIssuedDuringPeriod"/>
      <w:bookmarkEnd w:id="796"/>
      <w:r>
        <w:rPr>
          <w:rFonts w:ascii="Times New Roman;Times;Serif" w:hAnsi="Times New Roman;Times;Serif"/>
          <w:b w:val="false"/>
          <w:i w:val="false"/>
          <w:caps w:val="false"/>
          <w:smallCaps w:val="false"/>
          <w:sz w:val="20"/>
        </w:rPr>
        <w:t xml:space="preserve">1,644,743 shares of its common stock upon cashless exercise of </w:t>
      </w:r>
      <w:bookmarkStart w:id="797" w:name="xdx_903_eus-gaap--ClassOfWarrantOrRightN"/>
      <w:bookmarkEnd w:id="797"/>
      <w:r>
        <w:rPr>
          <w:rFonts w:ascii="Times New Roman;Times;Serif" w:hAnsi="Times New Roman;Times;Serif"/>
          <w:b w:val="false"/>
          <w:i w:val="false"/>
          <w:caps w:val="false"/>
          <w:smallCaps w:val="false"/>
          <w:sz w:val="20"/>
        </w:rPr>
        <w:t>2,357,377 warrants to purchase shares of common stock, pursuant to the formula set forth in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 cash settlement and repurchase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outstanding common stock purchase warrants contain provisions that, upon the occurrence of a board-approved “Fundamental Transaction” (as defined in the applicable warrant agreements), provide the holder with the right to require the Company (or a successor entity) to repurchase the warrant for cash equal to its Black-Scholes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such Fundamental Transaction and the cash-settlement feature becoming operative, the affected warrants no longer meet the criteria for equity classification under ASC 815-40 and are reclassified to liability-classified derivative instruments and measured at fair value, with subsequent changes in fair value recognized in earnings through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Streamex Exchange transaction, which constituted a Fundamental Transaction, all holders of the affected warrants that remained outstanding at the time of the Fundamental Transaction elected cash settlement, and the Company repurchased an aggregate of </w:t>
      </w:r>
      <w:bookmarkStart w:id="798" w:name="xdx_903_eus-gaap--StockRepurchasedDuring"/>
      <w:bookmarkEnd w:id="798"/>
      <w:r>
        <w:rPr>
          <w:rFonts w:ascii="Times New Roman;Times;Serif" w:hAnsi="Times New Roman;Times;Serif"/>
          <w:b w:val="false"/>
          <w:i w:val="false"/>
          <w:caps w:val="false"/>
          <w:smallCaps w:val="false"/>
          <w:sz w:val="20"/>
        </w:rPr>
        <w:t>678,778 warrants for approximately $</w:t>
      </w:r>
      <w:bookmarkStart w:id="799" w:name="xdx_906_eus-gaap--StockRepurchasedDuring"/>
      <w:bookmarkEnd w:id="799"/>
      <w:r>
        <w:rPr>
          <w:rFonts w:ascii="Times New Roman;Times;Serif" w:hAnsi="Times New Roman;Times;Serif"/>
          <w:b w:val="false"/>
          <w:i w:val="false"/>
          <w:caps w:val="false"/>
          <w:smallCaps w:val="false"/>
          <w:sz w:val="20"/>
        </w:rPr>
        <w:t>8.0 million in cash during the fourth quarter of 2025. For an overview of the Company’s derivative financial instruments and related disclosures required by ASC 815, see Note 17, Derivative Financial Instruments and Hedging Activities.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0" w:name="xdx_895_eus-gaap--ScheduleOfStockholders"/>
      <w:bookmarkEnd w:id="800"/>
      <w:r>
        <w:rPr>
          <w:rFonts w:ascii="Times New Roman;Times;Serif" w:hAnsi="Times New Roman;Times;Serif"/>
          <w:b w:val="false"/>
          <w:i w:val="false"/>
          <w:caps w:val="false"/>
          <w:smallCaps w:val="false"/>
          <w:sz w:val="20"/>
        </w:rPr>
        <w:t>A summary of the warrant activity for the years ended December 31, 2025 and 2024 is as follows:</w:t>
      </w:r>
    </w:p>
    <w:p>
      <w:pPr>
        <w:pStyle w:val="TextBody"/>
        <w:bidi w:val="0"/>
        <w:spacing w:before="0" w:after="0"/>
        <w:ind w:left="0" w:right="0" w:hanging="0"/>
        <w:jc w:val="both"/>
        <w:rPr>
          <w:caps w:val="false"/>
          <w:smallCaps w:val="false"/>
        </w:rPr>
      </w:pPr>
      <w:r>
        <w:rPr>
          <w:caps w:val="false"/>
          <w:smallCaps w:val="false"/>
        </w:rPr>
        <w:t> </w:t>
      </w:r>
      <w:bookmarkStart w:id="801" w:name="xdx_8B5_zJayyJ4ZL0t7"/>
      <w:bookmarkEnd w:id="801"/>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5245"/>
        <w:gridCol w:w="60"/>
        <w:gridCol w:w="60"/>
        <w:gridCol w:w="1055"/>
        <w:gridCol w:w="95"/>
        <w:gridCol w:w="60"/>
        <w:gridCol w:w="199"/>
        <w:gridCol w:w="796"/>
        <w:gridCol w:w="60"/>
        <w:gridCol w:w="60"/>
        <w:gridCol w:w="197"/>
        <w:gridCol w:w="1053"/>
        <w:gridCol w:w="60"/>
        <w:gridCol w:w="60"/>
        <w:gridCol w:w="214"/>
        <w:gridCol w:w="856"/>
        <w:gridCol w:w="75"/>
      </w:tblGrid>
      <w:tr>
        <w:trPr/>
        <w:tc>
          <w:tcPr>
            <w:tcW w:w="5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jc w:val="center"/>
              <w:rPr>
                <w:b/>
              </w:rPr>
            </w:pPr>
            <w:r>
              <w:rPr>
                <w:b/>
              </w:rPr>
              <w:t>Weighted</w:t>
            </w:r>
          </w:p>
          <w:p>
            <w:pPr>
              <w:pStyle w:val="TableContents"/>
              <w:bidi w:val="0"/>
              <w:jc w:val="center"/>
              <w:rPr>
                <w:b/>
              </w:rPr>
            </w:pPr>
            <w:r>
              <w:rPr>
                <w:b/>
              </w:rPr>
              <w:t>Average</w:t>
            </w:r>
          </w:p>
          <w:p>
            <w:pPr>
              <w:pStyle w:val="TableContents"/>
              <w:bidi w:val="0"/>
              <w:jc w:val="center"/>
              <w:rPr>
                <w:b/>
              </w:rPr>
            </w:pPr>
            <w:r>
              <w:rPr>
                <w:b/>
              </w:rPr>
              <w:t>Exercise</w:t>
            </w:r>
          </w:p>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jc w:val="center"/>
              <w:rPr>
                <w:b/>
              </w:rPr>
            </w:pPr>
            <w:r>
              <w:rPr>
                <w:b/>
              </w:rPr>
              <w:t>Weighted</w:t>
            </w:r>
          </w:p>
          <w:p>
            <w:pPr>
              <w:pStyle w:val="TableContents"/>
              <w:bidi w:val="0"/>
              <w:jc w:val="center"/>
              <w:rPr>
                <w:b/>
              </w:rPr>
            </w:pPr>
            <w:r>
              <w:rPr>
                <w:b/>
              </w:rPr>
              <w:t>Average</w:t>
            </w:r>
          </w:p>
          <w:p>
            <w:pPr>
              <w:pStyle w:val="TableContents"/>
              <w:bidi w:val="0"/>
              <w:jc w:val="center"/>
              <w:rPr>
                <w:b/>
              </w:rPr>
            </w:pPr>
            <w:r>
              <w:rPr>
                <w:b/>
              </w:rPr>
              <w:t>Remaining</w:t>
            </w:r>
          </w:p>
          <w:p>
            <w:pPr>
              <w:pStyle w:val="TableContents"/>
              <w:bidi w:val="0"/>
              <w:jc w:val="center"/>
              <w:rPr>
                <w:b/>
              </w:rPr>
            </w:pPr>
            <w:r>
              <w:rPr>
                <w:b/>
              </w:rPr>
              <w:t>Contractual</w:t>
            </w:r>
          </w:p>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jc w:val="center"/>
              <w:rPr>
                <w:b/>
              </w:rPr>
            </w:pPr>
            <w:r>
              <w:rPr>
                <w:b/>
              </w:rPr>
              <w:t>Aggregate</w:t>
            </w:r>
          </w:p>
          <w:p>
            <w:pPr>
              <w:pStyle w:val="TableContents"/>
              <w:bidi w:val="0"/>
              <w:jc w:val="center"/>
              <w:rPr>
                <w:b/>
              </w:rPr>
            </w:pPr>
            <w:r>
              <w:rPr>
                <w:b/>
              </w:rPr>
              <w:t>Intrinsic</w:t>
            </w:r>
          </w:p>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2" w:name="xdx_98E_eus-gaap--ClassOfWarrantOrRightO"/>
            <w:bookmarkEnd w:id="802"/>
          </w:p>
        </w:tc>
        <w:tc>
          <w:tcPr>
            <w:tcW w:w="1055" w:type="dxa"/>
            <w:tcBorders/>
            <w:shd w:fill="CCEEFF" w:val="clear"/>
            <w:vAlign w:val="center"/>
          </w:tcPr>
          <w:p>
            <w:pPr>
              <w:pStyle w:val="TableContents"/>
              <w:bidi w:val="0"/>
              <w:spacing w:before="0" w:after="283"/>
              <w:jc w:val="right"/>
              <w:rPr/>
            </w:pPr>
            <w:r>
              <w:rPr/>
              <w:t>2,748,371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803" w:name="xdx_983_eus-gaap--ClassOfWarrantOrRightE"/>
            <w:bookmarkEnd w:id="803"/>
          </w:p>
        </w:tc>
        <w:tc>
          <w:tcPr>
            <w:tcW w:w="796" w:type="dxa"/>
            <w:tcBorders/>
            <w:shd w:fill="CCEEFF" w:val="clear"/>
            <w:vAlign w:val="center"/>
          </w:tcPr>
          <w:p>
            <w:pPr>
              <w:pStyle w:val="TableContents"/>
              <w:bidi w:val="0"/>
              <w:spacing w:before="0" w:after="283"/>
              <w:jc w:val="right"/>
              <w:rPr/>
            </w:pPr>
            <w:r>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bookmarkStart w:id="804" w:name="xdx_988_ecustom--WarrantsGrantedWeighted"/>
            <w:bookmarkEnd w:id="804"/>
          </w:p>
        </w:tc>
        <w:tc>
          <w:tcPr>
            <w:tcW w:w="1053"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805" w:name="xdx_98D_eus-gaap--ShareBasedCompensation"/>
            <w:bookmarkEnd w:id="805"/>
          </w:p>
        </w:tc>
        <w:tc>
          <w:tcPr>
            <w:tcW w:w="856" w:type="dxa"/>
            <w:tcBorders/>
            <w:shd w:fill="CCEEFF" w:val="clear"/>
            <w:vAlign w:val="center"/>
          </w:tcPr>
          <w:p>
            <w:pPr>
              <w:pStyle w:val="TableContents"/>
              <w:bidi w:val="0"/>
              <w:spacing w:before="0" w:after="283"/>
              <w:jc w:val="right"/>
              <w:rPr/>
            </w:pPr>
            <w:r>
              <w:rPr/>
              <w:t>1,717</w:t>
            </w:r>
          </w:p>
        </w:tc>
        <w:tc>
          <w:tcPr>
            <w:tcW w:w="75"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6" w:name="xdx_98E_ecustom--ClassOfWarrantsOrRightI"/>
            <w:bookmarkEnd w:id="806"/>
          </w:p>
        </w:tc>
        <w:tc>
          <w:tcPr>
            <w:tcW w:w="1055" w:type="dxa"/>
            <w:tcBorders/>
            <w:shd w:fill="FFFFFF" w:val="clear"/>
            <w:vAlign w:val="center"/>
          </w:tcPr>
          <w:p>
            <w:pPr>
              <w:pStyle w:val="TableContents"/>
              <w:bidi w:val="0"/>
              <w:spacing w:before="0" w:after="283"/>
              <w:jc w:val="right"/>
              <w:rPr/>
            </w:pPr>
            <w:r>
              <w:rPr/>
              <w:t>2,202,697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bookmarkStart w:id="807" w:name="xdx_981_ecustom--ClassOfWarrantOrRightEx"/>
            <w:bookmarkEnd w:id="807"/>
          </w:p>
        </w:tc>
        <w:tc>
          <w:tcPr>
            <w:tcW w:w="796" w:type="dxa"/>
            <w:tcBorders/>
            <w:shd w:fill="FFFFFF" w:val="cle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bookmarkStart w:id="808" w:name="xdx_90A_ecustom--WarrantsWeightedAverage"/>
            <w:bookmarkEnd w:id="808"/>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9" w:name="xdx_98A_ecustom--ClassOfWarrantsOrRightE"/>
            <w:bookmarkEnd w:id="80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(51,352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10" w:name="xdx_98A_ecustom--ClassOfWarrantOrRightEx"/>
            <w:bookmarkEnd w:id="810"/>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11" w:name="xdx_989_eus-gaap--ClassOfWarrantOrRightO"/>
            <w:bookmarkEnd w:id="811"/>
          </w:p>
        </w:tc>
        <w:tc>
          <w:tcPr>
            <w:tcW w:w="1055" w:type="dxa"/>
            <w:tcBorders/>
            <w:shd w:fill="FFFFFF" w:val="clear"/>
            <w:vAlign w:val="center"/>
          </w:tcPr>
          <w:p>
            <w:pPr>
              <w:pStyle w:val="TableContents"/>
              <w:bidi w:val="0"/>
              <w:spacing w:before="0" w:after="283"/>
              <w:jc w:val="right"/>
              <w:rPr/>
            </w:pPr>
            <w:r>
              <w:rPr/>
              <w:t>4,899,716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bookmarkStart w:id="812" w:name="xdx_98A_eus-gaap--ClassOfWarrantOrRightE"/>
            <w:bookmarkEnd w:id="812"/>
          </w:p>
        </w:tc>
        <w:tc>
          <w:tcPr>
            <w:tcW w:w="796" w:type="dxa"/>
            <w:tcBorders/>
            <w:shd w:fill="FFFFFF" w:val="clear"/>
            <w:vAlign w:val="center"/>
          </w:tcPr>
          <w:p>
            <w:pPr>
              <w:pStyle w:val="TableContents"/>
              <w:bidi w:val="0"/>
              <w:spacing w:before="0" w:after="283"/>
              <w:jc w:val="right"/>
              <w:rPr/>
            </w:pPr>
            <w:r>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bookmarkStart w:id="813" w:name="xdx_981_ecustom--WarrantsGrantedWeighted"/>
            <w:bookmarkEnd w:id="813"/>
          </w:p>
        </w:tc>
        <w:tc>
          <w:tcPr>
            <w:tcW w:w="1053"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bookmarkStart w:id="814" w:name="xdx_985_eus-gaap--ShareBasedCompensation"/>
            <w:bookmarkEnd w:id="814"/>
          </w:p>
        </w:tc>
        <w:tc>
          <w:tcPr>
            <w:tcW w:w="856" w:type="dxa"/>
            <w:tcBorders/>
            <w:shd w:fill="FFFFFF" w:val="clear"/>
            <w:vAlign w:val="center"/>
          </w:tcPr>
          <w:p>
            <w:pPr>
              <w:pStyle w:val="TableContents"/>
              <w:bidi w:val="0"/>
              <w:spacing w:before="0" w:after="283"/>
              <w:jc w:val="right"/>
              <w:rPr/>
            </w:pPr>
            <w:r>
              <w:rPr/>
              <w:t>405</w:t>
            </w:r>
          </w:p>
        </w:tc>
        <w:tc>
          <w:tcPr>
            <w:tcW w:w="75"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15" w:name="xdx_98A_ecustom--ClassOfWarrantsOrRightI"/>
            <w:bookmarkEnd w:id="815"/>
          </w:p>
        </w:tc>
        <w:tc>
          <w:tcPr>
            <w:tcW w:w="1055" w:type="dxa"/>
            <w:tcBorders/>
            <w:shd w:fill="CCEEFF" w:val="clear"/>
            <w:vAlign w:val="center"/>
          </w:tcPr>
          <w:p>
            <w:pPr>
              <w:pStyle w:val="TableContents"/>
              <w:bidi w:val="0"/>
              <w:spacing w:before="0" w:after="283"/>
              <w:jc w:val="right"/>
              <w:rPr/>
            </w:pPr>
            <w:r>
              <w:rPr/>
              <w:t>758,514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816" w:name="xdx_98E_ecustom--ClassOfWarrantOrRightEx"/>
            <w:bookmarkEnd w:id="816"/>
          </w:p>
        </w:tc>
        <w:tc>
          <w:tcPr>
            <w:tcW w:w="796" w:type="dxa"/>
            <w:tcBorders/>
            <w:shd w:fill="CCEEFF" w:val="clear"/>
            <w:vAlign w:val="center"/>
          </w:tcPr>
          <w:p>
            <w:pPr>
              <w:pStyle w:val="TableContents"/>
              <w:bidi w:val="0"/>
              <w:spacing w:before="0" w:after="283"/>
              <w:jc w:val="right"/>
              <w:rPr/>
            </w:pPr>
            <w:r>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bookmarkStart w:id="817" w:name="xdx_90B_ecustom--WarrantsWeightedAverage"/>
            <w:bookmarkEnd w:id="817"/>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18" w:name="xdx_98A_ecustom--ClassOfWarrantsOrRightE"/>
            <w:bookmarkEnd w:id="818"/>
          </w:p>
        </w:tc>
        <w:tc>
          <w:tcPr>
            <w:tcW w:w="1055" w:type="dxa"/>
            <w:tcBorders/>
            <w:shd w:fill="FFFFFF" w:val="clear"/>
            <w:vAlign w:val="center"/>
          </w:tcPr>
          <w:p>
            <w:pPr>
              <w:pStyle w:val="TableContents"/>
              <w:bidi w:val="0"/>
              <w:spacing w:before="0" w:after="283"/>
              <w:jc w:val="right"/>
              <w:rPr/>
            </w:pPr>
            <w:r>
              <w:rPr/>
              <w:t>(886,206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bookmarkStart w:id="819" w:name="xdx_989_ecustom--ClassOfWarrantOrRightEx"/>
            <w:bookmarkEnd w:id="819"/>
          </w:p>
        </w:tc>
        <w:tc>
          <w:tcPr>
            <w:tcW w:w="796" w:type="dxa"/>
            <w:tcBorders/>
            <w:shd w:fill="FFFFFF" w:val="clear"/>
            <w:vAlign w:val="center"/>
          </w:tcPr>
          <w:p>
            <w:pPr>
              <w:pStyle w:val="TableContents"/>
              <w:bidi w:val="0"/>
              <w:spacing w:before="0" w:after="283"/>
              <w:jc w:val="right"/>
              <w:rPr/>
            </w:pPr>
            <w:r>
              <w:rPr/>
              <w:t>41.32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Repurchased for cash (Fundamental Transaction election)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0" w:name="xdx_989_ecustom--RepurchasedForCashFunda"/>
            <w:bookmarkEnd w:id="820"/>
          </w:p>
        </w:tc>
        <w:tc>
          <w:tcPr>
            <w:tcW w:w="1055" w:type="dxa"/>
            <w:tcBorders/>
            <w:shd w:fill="CCEEFF" w:val="clear"/>
            <w:vAlign w:val="center"/>
          </w:tcPr>
          <w:p>
            <w:pPr>
              <w:pStyle w:val="TableContents"/>
              <w:bidi w:val="0"/>
              <w:spacing w:before="0" w:after="283"/>
              <w:jc w:val="right"/>
              <w:rPr/>
            </w:pPr>
            <w:r>
              <w:rPr/>
              <w:t>(678,778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821" w:name="xdx_981_ecustom--ClassOfWarrantOrRightEx"/>
            <w:bookmarkEnd w:id="821"/>
          </w:p>
        </w:tc>
        <w:tc>
          <w:tcPr>
            <w:tcW w:w="796" w:type="dxa"/>
            <w:tcBorders/>
            <w:shd w:fill="CCEEFF" w:val="clear"/>
            <w:vAlign w:val="center"/>
          </w:tcPr>
          <w:p>
            <w:pPr>
              <w:pStyle w:val="TableContents"/>
              <w:bidi w:val="0"/>
              <w:spacing w:before="0" w:after="283"/>
              <w:jc w:val="right"/>
              <w:rPr/>
            </w:pPr>
            <w:r>
              <w:rPr/>
              <w:t>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22" w:name="xdx_986_ecustom--ClassOfWarrantsOrRightE"/>
            <w:bookmarkEnd w:id="822"/>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(2,357,377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23" w:name="xdx_988_ecustom--ClassOfWarrantOrRightEx"/>
            <w:bookmarkEnd w:id="823"/>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4" w:name="xdx_985_eus-gaap--ClassOfWarrantOrRightO"/>
            <w:bookmarkEnd w:id="824"/>
          </w:p>
        </w:tc>
        <w:tc>
          <w:tcPr>
            <w:tcW w:w="1055" w:type="dxa"/>
            <w:tcBorders/>
            <w:shd w:fill="CCEEFF" w:val="clear"/>
            <w:vAlign w:val="center"/>
          </w:tcPr>
          <w:p>
            <w:pPr>
              <w:pStyle w:val="TableContents"/>
              <w:bidi w:val="0"/>
              <w:spacing w:before="0" w:after="283"/>
              <w:jc w:val="right"/>
              <w:rPr/>
            </w:pPr>
            <w:r>
              <w:rPr/>
              <w:t>1,735,869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bookmarkStart w:id="825" w:name="xdx_90D_ecustom--ClassOfWarrantOrRightsW"/>
            <w:bookmarkEnd w:id="825"/>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bookmarkStart w:id="826" w:name="xdx_908_ecustom--WarrantsOutstandingWeig"/>
            <w:bookmarkEnd w:id="826"/>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bookmarkStart w:id="827" w:name="xdx_902_eus-gaap--ShareBasedCompensation"/>
            <w:bookmarkEnd w:id="827"/>
            <w:r>
              <w:rPr/>
              <w:t>1,415</w:t>
            </w:r>
          </w:p>
        </w:tc>
        <w:tc>
          <w:tcPr>
            <w:tcW w:w="75" w:type="dxa"/>
            <w:tcBorders/>
            <w:shd w:fill="CCEEFF" w:val="clear"/>
            <w:vAlign w:val="center"/>
          </w:tcPr>
          <w:p>
            <w:pPr>
              <w:pStyle w:val="TableContents"/>
              <w:bidi w:val="0"/>
              <w:spacing w:before="0" w:after="283"/>
              <w:jc w:val="left"/>
              <w:rPr/>
            </w:pPr>
            <w:r>
              <w:rPr/>
              <w:t> </w:t>
            </w:r>
          </w:p>
        </w:tc>
      </w:tr>
      <w:tr>
        <w:trPr/>
        <w:tc>
          <w:tcPr>
            <w:tcW w:w="5245" w:type="dxa"/>
            <w:tcBorders/>
            <w:shd w:fill="FFFFFF" w:val="clear"/>
            <w:vAlign w:val="center"/>
          </w:tcPr>
          <w:p>
            <w:pPr>
              <w:pStyle w:val="TableContents"/>
              <w:bidi w:val="0"/>
              <w:spacing w:before="0" w:after="283"/>
              <w:jc w:val="left"/>
              <w:rPr/>
            </w:pPr>
            <w:r>
              <w:rPr/>
              <w:t>Vested and expected to vest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8" w:name="xdx_986_ecustom--ClassOfWarrantOrRightsV"/>
            <w:bookmarkEnd w:id="828"/>
          </w:p>
        </w:tc>
        <w:tc>
          <w:tcPr>
            <w:tcW w:w="1055" w:type="dxa"/>
            <w:tcBorders/>
            <w:shd w:fill="FFFFFF" w:val="clear"/>
            <w:vAlign w:val="center"/>
          </w:tcPr>
          <w:p>
            <w:pPr>
              <w:pStyle w:val="TableContents"/>
              <w:bidi w:val="0"/>
              <w:spacing w:before="0" w:after="283"/>
              <w:jc w:val="right"/>
              <w:rPr/>
            </w:pPr>
            <w:r>
              <w:rPr/>
              <w:t>1,735,869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bookmarkStart w:id="829" w:name="xdx_987_ecustom--ClassOfWarrantOrRightsW"/>
            <w:bookmarkEnd w:id="829"/>
          </w:p>
        </w:tc>
        <w:tc>
          <w:tcPr>
            <w:tcW w:w="796"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bookmarkStart w:id="830" w:name="xdx_90D_ecustom--WarrantsVestedAndExpect"/>
            <w:bookmarkEnd w:id="830"/>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bookmarkStart w:id="831" w:name="xdx_98A_eus-gaap--SharebasedCompensation"/>
            <w:bookmarkEnd w:id="831"/>
          </w:p>
        </w:tc>
        <w:tc>
          <w:tcPr>
            <w:tcW w:w="856" w:type="dxa"/>
            <w:tcBorders/>
            <w:shd w:fill="FFFFFF" w:val="clear"/>
            <w:vAlign w:val="center"/>
          </w:tcPr>
          <w:p>
            <w:pPr>
              <w:pStyle w:val="TableContents"/>
              <w:bidi w:val="0"/>
              <w:spacing w:before="0" w:after="283"/>
              <w:jc w:val="right"/>
              <w:rPr/>
            </w:pPr>
            <w:r>
              <w:rPr/>
              <w:t>1,415</w:t>
            </w:r>
          </w:p>
        </w:tc>
        <w:tc>
          <w:tcPr>
            <w:tcW w:w="75" w:type="dxa"/>
            <w:tcBorders/>
            <w:shd w:fill="FFFFFF" w:val="clear"/>
            <w:vAlign w:val="center"/>
          </w:tcPr>
          <w:p>
            <w:pPr>
              <w:pStyle w:val="TableContents"/>
              <w:bidi w:val="0"/>
              <w:spacing w:before="0" w:after="283"/>
              <w:jc w:val="left"/>
              <w:rPr/>
            </w:pPr>
            <w:r>
              <w:rPr/>
              <w:t> </w:t>
            </w:r>
          </w:p>
        </w:tc>
      </w:tr>
      <w:tr>
        <w:trPr/>
        <w:tc>
          <w:tcPr>
            <w:tcW w:w="5245" w:type="dxa"/>
            <w:tcBorders/>
            <w:shd w:fill="CCEEFF" w:val="clear"/>
            <w:vAlign w:val="center"/>
          </w:tcPr>
          <w:p>
            <w:pPr>
              <w:pStyle w:val="TableContents"/>
              <w:bidi w:val="0"/>
              <w:spacing w:before="0" w:after="283"/>
              <w:jc w:val="left"/>
              <w:rPr/>
            </w:pPr>
            <w:r>
              <w:rPr/>
              <w:t>Exercisable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2" w:name="xdx_98E_ecustom--ClassOfWarrantOrRightsE"/>
            <w:bookmarkEnd w:id="832"/>
          </w:p>
        </w:tc>
        <w:tc>
          <w:tcPr>
            <w:tcW w:w="1055" w:type="dxa"/>
            <w:tcBorders/>
            <w:shd w:fill="CCEEFF" w:val="clear"/>
            <w:vAlign w:val="center"/>
          </w:tcPr>
          <w:p>
            <w:pPr>
              <w:pStyle w:val="TableContents"/>
              <w:bidi w:val="0"/>
              <w:spacing w:before="0" w:after="283"/>
              <w:jc w:val="right"/>
              <w:rPr/>
            </w:pPr>
            <w:r>
              <w:rPr/>
              <w:t>1,735,869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833" w:name="xdx_985_ecustom--ClassOfWarrantOrRightsW"/>
            <w:bookmarkEnd w:id="833"/>
          </w:p>
        </w:tc>
        <w:tc>
          <w:tcPr>
            <w:tcW w:w="796" w:type="dxa"/>
            <w:tcBorders/>
            <w:shd w:fill="CCEEFF" w:val="clear"/>
            <w:vAlign w:val="center"/>
          </w:tcPr>
          <w:p>
            <w:pPr>
              <w:pStyle w:val="TableContents"/>
              <w:bidi w:val="0"/>
              <w:spacing w:before="0" w:after="283"/>
              <w:jc w:val="right"/>
              <w:rPr/>
            </w:pPr>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bookmarkStart w:id="834" w:name="xdx_90D_ecustom--WarrantsExercisableWeig"/>
            <w:bookmarkEnd w:id="834"/>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835" w:name="xdx_983_eus-gaap--ShareBasedCompensation"/>
            <w:bookmarkEnd w:id="835"/>
          </w:p>
        </w:tc>
        <w:tc>
          <w:tcPr>
            <w:tcW w:w="856" w:type="dxa"/>
            <w:tcBorders/>
            <w:shd w:fill="CCEEFF" w:val="clear"/>
            <w:vAlign w:val="center"/>
          </w:tcPr>
          <w:p>
            <w:pPr>
              <w:pStyle w:val="TableContents"/>
              <w:bidi w:val="0"/>
              <w:spacing w:before="0" w:after="283"/>
              <w:jc w:val="right"/>
              <w:rPr/>
            </w:pPr>
            <w:r>
              <w:rPr/>
              <w:t>1,415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6" w:name="xdx_8A6_zt05xUyVuqdi"/>
      <w:bookmarkEnd w:id="8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tables represents the total pretax intrinsic value, based on warrants with an exercise price less than the company’s stock price of $</w:t>
      </w:r>
      <w:bookmarkStart w:id="837" w:name="xdx_904_eus-gaap--SharePrice_iI_c2025123"/>
      <w:bookmarkEnd w:id="837"/>
      <w:r>
        <w:rPr>
          <w:rFonts w:ascii="Times New Roman;Times;Serif" w:hAnsi="Times New Roman;Times;Serif"/>
          <w:b w:val="false"/>
          <w:i w:val="false"/>
          <w:caps w:val="false"/>
          <w:smallCaps w:val="false"/>
          <w:sz w:val="20"/>
        </w:rPr>
        <w:t>3.03 as of December 31, 2025, which would have been received by the warrant holders had those warrants holders exercised their warrants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and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(“RSUs”) represent the right to receive shares of the Company’s common stock in the future and do not represent issued and outstanding shares of common stock until they vest and are settled. The Company measures the grant-date fair value of RSU awards based on the closing price of the Company’s common stock on the grant date and recognizes stock-based compensation expense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(“RSAs”) are awards of shares of the Company’s common stock that are issued on the grant date and are generally subject to transfer restrictions and, in certain cases, vesting restrictions and forfeiture provisions. The Company recognizes stock-based compensation expense for RSAs over the requisite service period when the awards are subject to continued service-based vesting. RSAs that are fully vested on the grant date are recognized as stock-based compensation expense on the grant date. RSA activity is reflected in the table below within “Granted” and, for awards that vest immediately, within “Vested and issued” in the same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8" w:name="xdx_893_eus-gaap--NonvestedRestrictedSto"/>
      <w:bookmarkEnd w:id="838"/>
      <w:r>
        <w:rPr>
          <w:rFonts w:ascii="Times New Roman;Times;Serif" w:hAnsi="Times New Roman;Times;Serif"/>
          <w:b w:val="false"/>
          <w:i w:val="false"/>
          <w:caps w:val="false"/>
          <w:smallCaps w:val="false"/>
          <w:sz w:val="20"/>
        </w:rPr>
        <w:t>The following table summarizes the restricted stock activity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839" w:name="xdx_8BA_zcsY9eH6LL91"/>
      <w:bookmarkEnd w:id="839"/>
      <w:r>
        <w:rPr>
          <w:rFonts w:ascii="Times New Roman;Times;Serif" w:hAnsi="Times New Roman;Times;Serif"/>
          <w:b w:val="false"/>
          <w:i w:val="false"/>
          <w:caps w:val="false"/>
          <w:smallCaps w:val="false"/>
          <w:sz w:val="20"/>
        </w:rPr>
        <w:t>SCHEDULE OF RESTRICTED STOCK ACTIVITY</w:t>
      </w:r>
    </w:p>
    <w:tbl>
      <w:tblPr>
        <w:tblW w:w="6345" w:type="dxa"/>
        <w:jc w:val="left"/>
        <w:tblInd w:w="0" w:type="dxa"/>
        <w:tblLayout w:type="fixed"/>
        <w:tblCellMar>
          <w:top w:w="0" w:type="dxa"/>
          <w:left w:w="0" w:type="dxa"/>
          <w:bottom w:w="0" w:type="dxa"/>
          <w:right w:w="0" w:type="dxa"/>
        </w:tblCellMar>
      </w:tblPr>
      <w:tblGrid>
        <w:gridCol w:w="4940"/>
        <w:gridCol w:w="60"/>
        <w:gridCol w:w="60"/>
        <w:gridCol w:w="1175"/>
        <w:gridCol w:w="110"/>
      </w:tblGrid>
      <w:tr>
        <w:trPr/>
        <w:tc>
          <w:tcPr>
            <w:tcW w:w="4940" w:type="dxa"/>
            <w:tcBorders/>
            <w:shd w:fill="CCEEFF" w:val="clear"/>
            <w:vAlign w:val="center"/>
          </w:tcPr>
          <w:p>
            <w:pPr>
              <w:pStyle w:val="TableContents"/>
              <w:bidi w:val="0"/>
              <w:spacing w:before="0" w:after="283"/>
              <w:jc w:val="left"/>
              <w:rPr/>
            </w:pPr>
            <w:r>
              <w:rPr/>
              <w:t>Restricted shares issued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0" w:name="xdx_982_eus-gaap--ShareBasedCompensation"/>
            <w:bookmarkEnd w:id="840"/>
          </w:p>
        </w:tc>
        <w:tc>
          <w:tcPr>
            <w:tcW w:w="1175" w:type="dxa"/>
            <w:tcBorders/>
            <w:shd w:fill="CCEEFF" w:val="clear"/>
            <w:vAlign w:val="center"/>
          </w:tcPr>
          <w:p>
            <w:pPr>
              <w:pStyle w:val="TableContents"/>
              <w:bidi w:val="0"/>
              <w:spacing w:before="0" w:after="283"/>
              <w:jc w:val="right"/>
              <w:rPr/>
            </w:pPr>
            <w:r>
              <w:rPr/>
              <w:t>163,250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1" w:name="xdx_98B_eus-gaap--ShareBasedCompensation"/>
            <w:bookmarkEnd w:id="841"/>
          </w:p>
        </w:tc>
        <w:tc>
          <w:tcPr>
            <w:tcW w:w="1175" w:type="dxa"/>
            <w:tcBorders/>
            <w:shd w:fill="FFFFFF" w:val="clear"/>
            <w:vAlign w:val="center"/>
          </w:tcPr>
          <w:p>
            <w:pPr>
              <w:pStyle w:val="TableContents"/>
              <w:bidi w:val="0"/>
              <w:spacing w:before="0" w:after="283"/>
              <w:jc w:val="right"/>
              <w:rPr/>
            </w:pPr>
            <w:r>
              <w:rPr/>
              <w:t>4,605,000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2" w:name="xdx_983_eus-gaap--ShareBasedCompensation"/>
            <w:bookmarkEnd w:id="842"/>
          </w:p>
        </w:tc>
        <w:tc>
          <w:tcPr>
            <w:tcW w:w="1175" w:type="dxa"/>
            <w:tcBorders/>
            <w:shd w:fill="CCEEFF" w:val="clear"/>
            <w:vAlign w:val="center"/>
          </w:tcPr>
          <w:p>
            <w:pPr>
              <w:pStyle w:val="TableContents"/>
              <w:bidi w:val="0"/>
              <w:spacing w:before="0" w:after="283"/>
              <w:jc w:val="right"/>
              <w:rPr/>
            </w:pPr>
            <w:r>
              <w:rPr/>
              <w:t>(3,075,659</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3" w:name="xdx_98F_eus-gaap--ShareBasedCompensation"/>
            <w:bookmarkEnd w:id="843"/>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(306,752</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Restricted shares issued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4" w:name="xdx_98A_eus-gaap--ShareBasedCompensation"/>
            <w:bookmarkEnd w:id="844"/>
          </w:p>
        </w:tc>
        <w:tc>
          <w:tcPr>
            <w:tcW w:w="1175" w:type="dxa"/>
            <w:tcBorders/>
            <w:shd w:fill="CCEEFF" w:val="clear"/>
            <w:vAlign w:val="center"/>
          </w:tcPr>
          <w:p>
            <w:pPr>
              <w:pStyle w:val="TableContents"/>
              <w:bidi w:val="0"/>
              <w:spacing w:before="0" w:after="283"/>
              <w:jc w:val="right"/>
              <w:rPr/>
            </w:pPr>
            <w:r>
              <w:rPr/>
              <w:t>1,385,839</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5" w:name="xdx_98D_eus-gaap--ShareBasedCompensation"/>
            <w:bookmarkEnd w:id="845"/>
          </w:p>
        </w:tc>
        <w:tc>
          <w:tcPr>
            <w:tcW w:w="1175" w:type="dxa"/>
            <w:tcBorders/>
            <w:shd w:fill="FFFFFF" w:val="clear"/>
            <w:vAlign w:val="center"/>
          </w:tcPr>
          <w:p>
            <w:pPr>
              <w:pStyle w:val="TableContents"/>
              <w:bidi w:val="0"/>
              <w:spacing w:before="0" w:after="283"/>
              <w:jc w:val="right"/>
              <w:rPr/>
            </w:pPr>
            <w:r>
              <w:rPr/>
              <w:t>19,373,980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6" w:name="xdx_98F_eus-gaap--ShareBasedCompensation"/>
            <w:bookmarkEnd w:id="846"/>
          </w:p>
        </w:tc>
        <w:tc>
          <w:tcPr>
            <w:tcW w:w="1175" w:type="dxa"/>
            <w:tcBorders/>
            <w:shd w:fill="CCEEFF" w:val="clear"/>
            <w:vAlign w:val="center"/>
          </w:tcPr>
          <w:p>
            <w:pPr>
              <w:pStyle w:val="TableContents"/>
              <w:bidi w:val="0"/>
              <w:spacing w:before="0" w:after="283"/>
              <w:jc w:val="right"/>
              <w:rPr/>
            </w:pPr>
            <w:r>
              <w:rPr/>
              <w:t>(18,658,156</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7" w:name="xdx_98D_eus-gaap--ShareBasedCompensation"/>
            <w:bookmarkEnd w:id="847"/>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(64,163</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Restricted shares issued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8" w:name="xdx_98F_eus-gaap--ShareBasedCompensation"/>
            <w:bookmarkEnd w:id="848"/>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2,037,500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Comprised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Vested restricted shares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9" w:name="xdx_98D_eus-gaap--ShareBasedCompensation"/>
            <w:bookmarkEnd w:id="849"/>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Unvested restricted shares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0" w:name="xdx_986_eus-gaap--ShareBasedCompensation"/>
            <w:bookmarkEnd w:id="850"/>
          </w:p>
        </w:tc>
        <w:tc>
          <w:tcPr>
            <w:tcW w:w="1175" w:type="dxa"/>
            <w:tcBorders/>
            <w:shd w:fill="FFFFFF" w:val="clear"/>
            <w:vAlign w:val="center"/>
          </w:tcPr>
          <w:p>
            <w:pPr>
              <w:pStyle w:val="TableContents"/>
              <w:bidi w:val="0"/>
              <w:spacing w:before="0" w:after="283"/>
              <w:jc w:val="right"/>
              <w:rPr/>
            </w:pPr>
            <w:r>
              <w:rPr/>
              <w:t>2,037,500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51" w:name="xdx_8AA_zzHbltUxDPe8"/>
      <w:bookmarkEnd w:id="8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granted an aggregate of </w:t>
      </w:r>
      <w:bookmarkStart w:id="852" w:name="xdx_904_eus-gaap--StockIssuedDuringPerio"/>
      <w:bookmarkEnd w:id="852"/>
      <w:r>
        <w:rPr>
          <w:rFonts w:ascii="Times New Roman;Times;Serif" w:hAnsi="Times New Roman;Times;Serif"/>
          <w:b w:val="false"/>
          <w:i w:val="false"/>
          <w:caps w:val="false"/>
          <w:smallCaps w:val="false"/>
          <w:sz w:val="20"/>
        </w:rPr>
        <w:t xml:space="preserve">2,450,000 RSUs and </w:t>
      </w:r>
      <w:bookmarkStart w:id="853" w:name="xdx_90E_eus-gaap--StockIssuedDuringPerio"/>
      <w:bookmarkEnd w:id="853"/>
      <w:r>
        <w:rPr>
          <w:rFonts w:ascii="Times New Roman;Times;Serif" w:hAnsi="Times New Roman;Times;Serif"/>
          <w:b w:val="false"/>
          <w:i w:val="false"/>
          <w:caps w:val="false"/>
          <w:smallCaps w:val="false"/>
          <w:sz w:val="20"/>
        </w:rPr>
        <w:t>16,923,980 RSAs for shares of its commons stock to various third-party consultants and employees with an aggregate grant-date fair value of approximately $</w:t>
      </w:r>
      <w:bookmarkStart w:id="854" w:name="xdx_901_eus-gaap--StockIssuedDuringPerio"/>
      <w:bookmarkEnd w:id="854"/>
      <w:r>
        <w:rPr>
          <w:rFonts w:ascii="Times New Roman;Times;Serif" w:hAnsi="Times New Roman;Times;Serif"/>
          <w:b w:val="false"/>
          <w:i w:val="false"/>
          <w:caps w:val="false"/>
          <w:smallCaps w:val="false"/>
          <w:sz w:val="20"/>
        </w:rPr>
        <w:t>56.0 million. These RSUs and RSAs were granted at fair value on the grant date and the following grants issued during the year ended December 31, 2025 are included in the $</w:t>
      </w:r>
      <w:bookmarkStart w:id="855" w:name="xdx_902_eus-gaap--StockIssuedDuringPerio"/>
      <w:bookmarkEnd w:id="855"/>
      <w:r>
        <w:rPr>
          <w:rFonts w:ascii="Times New Roman;Times;Serif" w:hAnsi="Times New Roman;Times;Serif"/>
          <w:b w:val="false"/>
          <w:i w:val="false"/>
          <w:caps w:val="false"/>
          <w:smallCaps w:val="false"/>
          <w:sz w:val="20"/>
        </w:rPr>
        <w:t>52.0 million.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29, 2025, the Company’s Chief Investment Officer was granted </w:t>
      </w:r>
      <w:bookmarkStart w:id="856" w:name="xdx_905_eus-gaap--StockIssuedDuringPerio"/>
      <w:bookmarkEnd w:id="856"/>
      <w:r>
        <w:rPr>
          <w:rFonts w:ascii="Times New Roman;Times;Serif" w:hAnsi="Times New Roman;Times;Serif"/>
          <w:b w:val="false"/>
          <w:i w:val="false"/>
          <w:caps w:val="false"/>
          <w:smallCaps w:val="false"/>
          <w:sz w:val="20"/>
        </w:rPr>
        <w:t xml:space="preserve">1,000,000 RSUs, which </w:t>
      </w:r>
      <w:bookmarkStart w:id="857" w:name="xdx_90D_eus-gaap--ShareBasedCompensation"/>
      <w:bookmarkEnd w:id="857"/>
      <w:r>
        <w:rPr>
          <w:rFonts w:ascii="Times New Roman;Times;Serif" w:hAnsi="Times New Roman;Times;Serif"/>
          <w:b w:val="false"/>
          <w:i w:val="false"/>
          <w:caps w:val="false"/>
          <w:smallCaps w:val="false"/>
          <w:sz w:val="20"/>
        </w:rPr>
        <w:t xml:space="preserve">611,111 vest on April 29, 2026, </w:t>
      </w:r>
      <w:bookmarkStart w:id="858" w:name="xdx_90F_eus-gaap--ShareBasedCompensation"/>
      <w:bookmarkEnd w:id="858"/>
      <w:r>
        <w:rPr>
          <w:rFonts w:ascii="Times New Roman;Times;Serif" w:hAnsi="Times New Roman;Times;Serif"/>
          <w:b w:val="false"/>
          <w:i w:val="false"/>
          <w:caps w:val="false"/>
          <w:smallCaps w:val="false"/>
          <w:sz w:val="20"/>
        </w:rPr>
        <w:t xml:space="preserve">55,557 vest on May 29, 2026, </w:t>
      </w:r>
      <w:bookmarkStart w:id="859" w:name="xdx_90E_eus-gaap--ShareBasedCompensation"/>
      <w:bookmarkEnd w:id="859"/>
      <w:r>
        <w:rPr>
          <w:rFonts w:ascii="Times New Roman;Times;Serif" w:hAnsi="Times New Roman;Times;Serif"/>
          <w:b w:val="false"/>
          <w:i w:val="false"/>
          <w:caps w:val="false"/>
          <w:smallCaps w:val="false"/>
          <w:sz w:val="20"/>
        </w:rPr>
        <w:t xml:space="preserve">166,667 vest on August 29, 2026 and </w:t>
      </w:r>
      <w:bookmarkStart w:id="860" w:name="xdx_90E_eus-gaap--ShareBasedCompensation"/>
      <w:bookmarkEnd w:id="860"/>
      <w:r>
        <w:rPr>
          <w:rFonts w:ascii="Times New Roman;Times;Serif" w:hAnsi="Times New Roman;Times;Serif"/>
          <w:b w:val="false"/>
          <w:i w:val="false"/>
          <w:caps w:val="false"/>
          <w:smallCaps w:val="false"/>
          <w:sz w:val="20"/>
        </w:rPr>
        <w:t>166,665 vest on November 29, 2026, subject to his continued service with a grant-date fair value of approximately $</w:t>
      </w:r>
      <w:bookmarkStart w:id="861" w:name="xdx_903_eus-gaap--StockIssuedDuringPerio"/>
      <w:bookmarkEnd w:id="861"/>
      <w:r>
        <w:rPr>
          <w:rFonts w:ascii="Times New Roman;Times;Serif" w:hAnsi="Times New Roman;Times;Serif"/>
          <w:b w:val="false"/>
          <w:i w:val="false"/>
          <w:caps w:val="false"/>
          <w:smallCaps w:val="false"/>
          <w:sz w:val="20"/>
        </w:rPr>
        <w:t>5.1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2025 four third-party consultants were granted an aggregate of </w:t>
      </w:r>
      <w:bookmarkStart w:id="862" w:name="xdx_90E_eus-gaap--StockIssuedDuringPerio"/>
      <w:bookmarkEnd w:id="862"/>
      <w:r>
        <w:rPr>
          <w:rFonts w:ascii="Times New Roman;Times;Serif" w:hAnsi="Times New Roman;Times;Serif"/>
          <w:b w:val="false"/>
          <w:i w:val="false"/>
          <w:caps w:val="false"/>
          <w:smallCaps w:val="false"/>
          <w:sz w:val="20"/>
        </w:rPr>
        <w:t xml:space="preserve">1,250,00 RSUs, which </w:t>
      </w:r>
      <w:bookmarkStart w:id="863" w:name="xdx_904_eus-gaap--ShareBasedCompensation"/>
      <w:bookmarkEnd w:id="863"/>
      <w:r>
        <w:rPr>
          <w:rFonts w:ascii="Times New Roman;Times;Serif" w:hAnsi="Times New Roman;Times;Serif"/>
          <w:b w:val="false"/>
          <w:i w:val="false"/>
          <w:caps w:val="false"/>
          <w:smallCaps w:val="false"/>
          <w:sz w:val="20"/>
        </w:rPr>
        <w:t xml:space="preserve">312,500 vested and issued immediately and the remaining </w:t>
      </w:r>
      <w:bookmarkStart w:id="864" w:name="xdx_909_eus-gaap--ShareBasedCompensation"/>
      <w:bookmarkEnd w:id="864"/>
      <w:r>
        <w:rPr>
          <w:rFonts w:ascii="Times New Roman;Times;Serif" w:hAnsi="Times New Roman;Times;Serif"/>
          <w:b w:val="false"/>
          <w:i w:val="false"/>
          <w:caps w:val="false"/>
          <w:smallCaps w:val="false"/>
          <w:sz w:val="20"/>
        </w:rPr>
        <w:t>937,500 vest in twelve equal quarterly installments with an aggregate grant-date fair value of approximately $</w:t>
      </w:r>
      <w:bookmarkStart w:id="865" w:name="xdx_904_eus-gaap--StockIssuedDuringPerio"/>
      <w:bookmarkEnd w:id="865"/>
      <w:r>
        <w:rPr>
          <w:rFonts w:ascii="Times New Roman;Times;Serif" w:hAnsi="Times New Roman;Times;Serif"/>
          <w:b w:val="false"/>
          <w:i w:val="false"/>
          <w:caps w:val="false"/>
          <w:smallCaps w:val="false"/>
          <w:sz w:val="20"/>
        </w:rPr>
        <w:t>7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a third-party consultant was granted </w:t>
      </w:r>
      <w:bookmarkStart w:id="866" w:name="xdx_902_eus-gaap--StockIssuedDuringPerio"/>
      <w:bookmarkEnd w:id="866"/>
      <w:r>
        <w:rPr>
          <w:rFonts w:ascii="Times New Roman;Times;Serif" w:hAnsi="Times New Roman;Times;Serif"/>
          <w:b w:val="false"/>
          <w:i w:val="false"/>
          <w:caps w:val="false"/>
          <w:smallCaps w:val="false"/>
          <w:sz w:val="20"/>
        </w:rPr>
        <w:t xml:space="preserve">200,000 RSUs, which </w:t>
      </w:r>
      <w:bookmarkStart w:id="867" w:name="xdx_90E_eus-gaap--ShareBasedCompensation"/>
      <w:bookmarkEnd w:id="867"/>
      <w:r>
        <w:rPr>
          <w:rFonts w:ascii="Times New Roman;Times;Serif" w:hAnsi="Times New Roman;Times;Serif"/>
          <w:b w:val="false"/>
          <w:i w:val="false"/>
          <w:caps w:val="false"/>
          <w:smallCaps w:val="false"/>
          <w:sz w:val="20"/>
        </w:rPr>
        <w:t xml:space="preserve">100,000 vested and issued immediately and the remaining </w:t>
      </w:r>
      <w:bookmarkStart w:id="868" w:name="xdx_90A_eus-gaap--ShareBasedCompensation"/>
      <w:bookmarkEnd w:id="868"/>
      <w:r>
        <w:rPr>
          <w:rFonts w:ascii="Times New Roman;Times;Serif" w:hAnsi="Times New Roman;Times;Serif"/>
          <w:b w:val="false"/>
          <w:i w:val="false"/>
          <w:caps w:val="false"/>
          <w:smallCaps w:val="false"/>
          <w:sz w:val="20"/>
        </w:rPr>
        <w:t>100,000 vest on January 6, 2026 with a grant-date fair value of approximately $</w:t>
      </w:r>
      <w:bookmarkStart w:id="869" w:name="xdx_906_eus-gaap--StockIssuedDuringPerio"/>
      <w:bookmarkEnd w:id="869"/>
      <w:r>
        <w:rPr>
          <w:rFonts w:ascii="Times New Roman;Times;Serif" w:hAnsi="Times New Roman;Times;Serif"/>
          <w:b w:val="false"/>
          <w:i w:val="false"/>
          <w:caps w:val="false"/>
          <w:smallCaps w:val="false"/>
          <w:sz w:val="20"/>
        </w:rPr>
        <w:t>1.3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granted an aggregate of </w:t>
      </w:r>
      <w:bookmarkStart w:id="870" w:name="xdx_90B_eus-gaap--StockIssuedDuringPerio"/>
      <w:bookmarkEnd w:id="870"/>
      <w:r>
        <w:rPr>
          <w:rFonts w:ascii="Times New Roman;Times;Serif" w:hAnsi="Times New Roman;Times;Serif"/>
          <w:b w:val="false"/>
          <w:i w:val="false"/>
          <w:caps w:val="false"/>
          <w:smallCaps w:val="false"/>
          <w:sz w:val="20"/>
        </w:rPr>
        <w:t>4,605,000 RSUs for shares of its commons stock to various third-party consultants and employees with an aggregate grant-date fair value of approximately $</w:t>
      </w:r>
      <w:bookmarkStart w:id="871" w:name="xdx_90C_eus-gaap--StockIssuedDuringPerio"/>
      <w:bookmarkEnd w:id="871"/>
      <w:r>
        <w:rPr>
          <w:rFonts w:ascii="Times New Roman;Times;Serif" w:hAnsi="Times New Roman;Times;Serif"/>
          <w:b w:val="false"/>
          <w:i w:val="false"/>
          <w:caps w:val="false"/>
          <w:smallCaps w:val="false"/>
          <w:sz w:val="20"/>
        </w:rPr>
        <w:t>5.3 million.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 2024, the Company granted </w:t>
      </w:r>
      <w:bookmarkStart w:id="872" w:name="xdx_90C_eus-gaap--StockIssuedDuringPerio"/>
      <w:bookmarkEnd w:id="872"/>
      <w:r>
        <w:rPr>
          <w:rFonts w:ascii="Times New Roman;Times;Serif" w:hAnsi="Times New Roman;Times;Serif"/>
          <w:b w:val="false"/>
          <w:i w:val="false"/>
          <w:caps w:val="false"/>
          <w:smallCaps w:val="false"/>
          <w:sz w:val="20"/>
        </w:rPr>
        <w:t xml:space="preserve">500,000 RSUs for shares of its common stock to a consultant, </w:t>
      </w:r>
      <w:bookmarkStart w:id="873" w:name="xdx_903_eus-gaap--ShareBasedCompensation"/>
      <w:bookmarkEnd w:id="873"/>
      <w:r>
        <w:rPr>
          <w:rFonts w:ascii="Times New Roman;Times;Serif" w:hAnsi="Times New Roman;Times;Serif"/>
          <w:b w:val="false"/>
          <w:i w:val="false"/>
          <w:caps w:val="false"/>
          <w:smallCaps w:val="false"/>
          <w:sz w:val="20"/>
        </w:rPr>
        <w:t>vesting in substantially equal monthly installments over one year for services rendered.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2024, the Company granted </w:t>
      </w:r>
      <w:bookmarkStart w:id="874" w:name="xdx_901_eus-gaap--StockIssuedDuringPerio"/>
      <w:bookmarkEnd w:id="874"/>
      <w:r>
        <w:rPr>
          <w:rFonts w:ascii="Times New Roman;Times;Serif" w:hAnsi="Times New Roman;Times;Serif"/>
          <w:b w:val="false"/>
          <w:i w:val="false"/>
          <w:caps w:val="false"/>
          <w:smallCaps w:val="false"/>
          <w:sz w:val="20"/>
        </w:rPr>
        <w:t xml:space="preserve">200,000 RSUs for shares of its common stock to employees, </w:t>
      </w:r>
      <w:bookmarkStart w:id="875" w:name="xdx_90B_eus-gaap--ShareBasedCompensation"/>
      <w:bookmarkEnd w:id="875"/>
      <w:r>
        <w:rPr>
          <w:rFonts w:ascii="Times New Roman;Times;Serif" w:hAnsi="Times New Roman;Times;Serif"/>
          <w:b w:val="false"/>
          <w:i w:val="false"/>
          <w:caps w:val="false"/>
          <w:smallCaps w:val="false"/>
          <w:sz w:val="20"/>
        </w:rPr>
        <w:t>vesting in substantially equal monthly installments over one year for services rendered.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2024, the Company granted </w:t>
      </w:r>
      <w:bookmarkStart w:id="876" w:name="xdx_902_eus-gaap--StockIssuedDuringPerio"/>
      <w:bookmarkEnd w:id="876"/>
      <w:r>
        <w:rPr>
          <w:rFonts w:ascii="Times New Roman;Times;Serif" w:hAnsi="Times New Roman;Times;Serif"/>
          <w:b w:val="false"/>
          <w:i w:val="false"/>
          <w:caps w:val="false"/>
          <w:smallCaps w:val="false"/>
          <w:sz w:val="20"/>
        </w:rPr>
        <w:t xml:space="preserve">50,000 RSUs for shares of its common stock to an employee </w:t>
      </w:r>
      <w:bookmarkStart w:id="877" w:name="xdx_90B_eus-gaap--ShareBasedCompensation"/>
      <w:bookmarkEnd w:id="877"/>
      <w:r>
        <w:rPr>
          <w:rFonts w:ascii="Times New Roman;Times;Serif" w:hAnsi="Times New Roman;Times;Serif"/>
          <w:b w:val="false"/>
          <w:i w:val="false"/>
          <w:caps w:val="false"/>
          <w:smallCaps w:val="false"/>
          <w:sz w:val="20"/>
        </w:rPr>
        <w:t>vesting in substantially equal monthly installments over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2024, the company granted </w:t>
      </w:r>
      <w:bookmarkStart w:id="878" w:name="xdx_904_eus-gaap--StockIssuedDuringPerio"/>
      <w:bookmarkEnd w:id="878"/>
      <w:r>
        <w:rPr>
          <w:rFonts w:ascii="Times New Roman;Times;Serif" w:hAnsi="Times New Roman;Times;Serif"/>
          <w:b w:val="false"/>
          <w:i w:val="false"/>
          <w:caps w:val="false"/>
          <w:smallCaps w:val="false"/>
          <w:sz w:val="20"/>
        </w:rPr>
        <w:t>275,000 shares of RSUs, with a grant date fair value of $</w:t>
      </w:r>
      <w:bookmarkStart w:id="879" w:name="xdx_907_eus-gaap--StockIssuedDuringPerio"/>
      <w:bookmarkEnd w:id="879"/>
      <w:r>
        <w:rPr>
          <w:rFonts w:ascii="Times New Roman;Times;Serif" w:hAnsi="Times New Roman;Times;Serif"/>
          <w:b w:val="false"/>
          <w:i w:val="false"/>
          <w:caps w:val="false"/>
          <w:smallCaps w:val="false"/>
          <w:sz w:val="20"/>
        </w:rPr>
        <w:t xml:space="preserve">123,173, and granted an additional </w:t>
      </w:r>
      <w:bookmarkStart w:id="880" w:name="xdx_90C_eus-gaap--ShareBasedCompensation"/>
      <w:bookmarkEnd w:id="880"/>
      <w:r>
        <w:rPr>
          <w:rFonts w:ascii="Times New Roman;Times;Serif" w:hAnsi="Times New Roman;Times;Serif"/>
          <w:b w:val="false"/>
          <w:i w:val="false"/>
          <w:caps w:val="false"/>
          <w:smallCaps w:val="false"/>
          <w:sz w:val="20"/>
        </w:rPr>
        <w:t>1,275,000 shares of common stock that vest biannually over the term of 3 years with a grant date fair value of $</w:t>
      </w:r>
      <w:bookmarkStart w:id="881" w:name="xdx_90E_eus-gaap--ShareBasedCompensation"/>
      <w:bookmarkEnd w:id="881"/>
      <w:r>
        <w:rPr>
          <w:rFonts w:ascii="Times New Roman;Times;Serif" w:hAnsi="Times New Roman;Times;Serif"/>
          <w:b w:val="false"/>
          <w:i w:val="false"/>
          <w:caps w:val="false"/>
          <w:smallCaps w:val="false"/>
          <w:sz w:val="20"/>
        </w:rPr>
        <w:t>571,073 to the Company’s former Chief Executive Officer and Chairman of the Board. On May 23, 2025 in connection with the former Chief Executive Officer and Chairman of the Board’s resignation pursuant to the terms of the Purchase Agreement dated May 23, 2025, and the First Amendment to his Executive Employment Agreement all his unvested RSUs were accelerated and deemed fully vested and nonforfeitable.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an aggregate of </w:t>
      </w:r>
      <w:bookmarkStart w:id="882" w:name="xdx_908_eus-gaap--StockIssuedDuringPerio"/>
      <w:bookmarkEnd w:id="882"/>
      <w:r>
        <w:rPr>
          <w:rFonts w:ascii="Times New Roman;Times;Serif" w:hAnsi="Times New Roman;Times;Serif"/>
          <w:b w:val="false"/>
          <w:i w:val="false"/>
          <w:caps w:val="false"/>
          <w:smallCaps w:val="false"/>
          <w:sz w:val="20"/>
        </w:rPr>
        <w:t>1,135,000 RSUs for shares of its common stock for the settlement of accounts payable at a fair value of $</w:t>
      </w:r>
      <w:bookmarkStart w:id="883" w:name="xdx_900_eus-gaap--StockIssuedDuringPerio"/>
      <w:bookmarkEnd w:id="883"/>
      <w:r>
        <w:rPr>
          <w:rFonts w:ascii="Times New Roman;Times;Serif" w:hAnsi="Times New Roman;Times;Serif"/>
          <w:b w:val="false"/>
          <w:i w:val="false"/>
          <w:caps w:val="false"/>
          <w:smallCaps w:val="false"/>
          <w:sz w:val="20"/>
        </w:rPr>
        <w:t>682.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related to RSU grants was $</w:t>
      </w:r>
      <w:bookmarkStart w:id="884" w:name="xdx_909_eus-gaap--ShareBasedCompensation"/>
      <w:bookmarkEnd w:id="884"/>
      <w:r>
        <w:rPr>
          <w:rFonts w:ascii="Times New Roman;Times;Serif" w:hAnsi="Times New Roman;Times;Serif"/>
          <w:b w:val="false"/>
          <w:i w:val="false"/>
          <w:caps w:val="false"/>
          <w:smallCaps w:val="false"/>
          <w:sz w:val="20"/>
        </w:rPr>
        <w:t>50.3 million and $</w:t>
      </w:r>
      <w:bookmarkStart w:id="885" w:name="xdx_905_eus-gaap--ShareBasedCompensation"/>
      <w:bookmarkEnd w:id="885"/>
      <w:r>
        <w:rPr>
          <w:rFonts w:ascii="Times New Roman;Times;Serif" w:hAnsi="Times New Roman;Times;Serif"/>
          <w:b w:val="false"/>
          <w:i w:val="false"/>
          <w:caps w:val="false"/>
          <w:smallCaps w:val="false"/>
          <w:sz w:val="20"/>
        </w:rPr>
        <w:t>4.6 million for the year ended December 31, 2025 and 2024, respectively. As of December 31, 2025, the stock-based compensation relating to RSUs of $</w:t>
      </w:r>
      <w:bookmarkStart w:id="886" w:name="xdx_903_eus-gaap--EmployeeServiceShareBa"/>
      <w:bookmarkEnd w:id="886"/>
      <w:r>
        <w:rPr>
          <w:rFonts w:ascii="Times New Roman;Times;Serif" w:hAnsi="Times New Roman;Times;Serif"/>
          <w:b w:val="false"/>
          <w:i w:val="false"/>
          <w:caps w:val="false"/>
          <w:smallCaps w:val="false"/>
          <w:sz w:val="20"/>
        </w:rPr>
        <w:t xml:space="preserve">9.0 million remains unamortized and a remaining weighted average life of </w:t>
      </w:r>
      <w:bookmarkStart w:id="887" w:name="xdx_906_eus-gaap--ShareBasedCompensation"/>
      <w:bookmarkEnd w:id="887"/>
      <w:r>
        <w:rPr>
          <w:rFonts w:ascii="Times New Roman;Times;Serif" w:hAnsi="Times New Roman;Times;Serif"/>
          <w:b w:val="false"/>
          <w:i w:val="false"/>
          <w:caps w:val="false"/>
          <w:smallCaps w:val="false"/>
          <w:sz w:val="20"/>
        </w:rPr>
        <w:t>1.98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ViralClear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2019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888" w:name="xdx_906_eus-gaap--ShareBasedCompensation"/>
      <w:bookmarkEnd w:id="888"/>
      <w:r>
        <w:rPr>
          <w:rFonts w:ascii="Times New Roman;Times;Serif" w:hAnsi="Times New Roman;Times;Serif"/>
          <w:b w:val="false"/>
          <w:i w:val="false"/>
          <w:caps w:val="false"/>
          <w:smallCaps w:val="false"/>
          <w:sz w:val="20"/>
        </w:rPr>
        <w:t>2,915,071 shares remaining available for future issuance of awards under the terms of the ViralClear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(ViralClear)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9" w:name="xdx_891_eus-gaap--ScheduleOfStockholders"/>
      <w:bookmarkEnd w:id="889"/>
      <w:r>
        <w:rPr>
          <w:rFonts w:ascii="Times New Roman;Times;Serif" w:hAnsi="Times New Roman;Times;Serif"/>
          <w:b w:val="false"/>
          <w:i w:val="false"/>
          <w:caps w:val="false"/>
          <w:smallCaps w:val="false"/>
          <w:sz w:val="20"/>
        </w:rPr>
        <w:t>A summary of the warrant activity for year ended December 31, 2025 is as follows:</w:t>
      </w:r>
    </w:p>
    <w:p>
      <w:pPr>
        <w:pStyle w:val="TextBody"/>
        <w:bidi w:val="0"/>
        <w:spacing w:before="0" w:after="0"/>
        <w:ind w:left="0" w:right="0" w:hanging="0"/>
        <w:jc w:val="both"/>
        <w:rPr>
          <w:caps w:val="false"/>
          <w:smallCaps w:val="false"/>
        </w:rPr>
      </w:pPr>
      <w:r>
        <w:rPr>
          <w:caps w:val="false"/>
          <w:smallCaps w:val="false"/>
        </w:rPr>
        <w:t> </w:t>
      </w:r>
      <w:bookmarkStart w:id="890" w:name="xdx_8B2_zKaNZ7ZAzfbd"/>
      <w:bookmarkEnd w:id="890"/>
      <w:r>
        <w:rPr>
          <w:rFonts w:ascii="Times New Roman;Times;Serif" w:hAnsi="Times New Roman;Times;Serif"/>
          <w:b w:val="false"/>
          <w:i w:val="false"/>
          <w:caps w:val="false"/>
          <w:smallCaps w:val="false"/>
          <w:sz w:val="20"/>
        </w:rPr>
        <w:t>SCHEDULE OF WARRANT ACTIVITY </w:t>
      </w:r>
    </w:p>
    <w:tbl>
      <w:tblPr>
        <w:tblW w:w="7975" w:type="dxa"/>
        <w:jc w:val="left"/>
        <w:tblInd w:w="0" w:type="dxa"/>
        <w:tblLayout w:type="fixed"/>
        <w:tblCellMar>
          <w:top w:w="0" w:type="dxa"/>
          <w:left w:w="0" w:type="dxa"/>
          <w:bottom w:w="0" w:type="dxa"/>
          <w:right w:w="0" w:type="dxa"/>
        </w:tblCellMar>
      </w:tblPr>
      <w:tblGrid>
        <w:gridCol w:w="2855"/>
        <w:gridCol w:w="60"/>
        <w:gridCol w:w="60"/>
        <w:gridCol w:w="800"/>
        <w:gridCol w:w="95"/>
        <w:gridCol w:w="60"/>
        <w:gridCol w:w="385"/>
        <w:gridCol w:w="1540"/>
        <w:gridCol w:w="60"/>
        <w:gridCol w:w="60"/>
        <w:gridCol w:w="303"/>
        <w:gridCol w:w="1622"/>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Remaining</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Contractual</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1" w:name="xdx_980_eus-gaap--ShareBasedCompensation"/>
            <w:bookmarkEnd w:id="891"/>
          </w:p>
        </w:tc>
        <w:tc>
          <w:tcPr>
            <w:tcW w:w="800" w:type="dxa"/>
            <w:tcBorders/>
            <w:shd w:fill="CCEEFF" w:val="clear"/>
            <w:vAlign w:val="center"/>
          </w:tcPr>
          <w:p>
            <w:pPr>
              <w:pStyle w:val="TableContents"/>
              <w:bidi w:val="0"/>
              <w:spacing w:before="0" w:after="283"/>
              <w:jc w:val="right"/>
              <w:rPr/>
            </w:pPr>
            <w:r>
              <w:rPr/>
              <w:t>480,347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bookmarkStart w:id="892" w:name="xdx_984_eus-gaap--ShareBasedCompensation"/>
            <w:bookmarkEnd w:id="892"/>
          </w:p>
        </w:tc>
        <w:tc>
          <w:tcPr>
            <w:tcW w:w="1540" w:type="dxa"/>
            <w:tcBorders/>
            <w:shd w:fill="CCEEFF" w:val="clear"/>
            <w:vAlign w:val="center"/>
          </w:tcPr>
          <w:p>
            <w:pPr>
              <w:pStyle w:val="TableContents"/>
              <w:bidi w:val="0"/>
              <w:spacing w:before="0" w:after="283"/>
              <w:jc w:val="right"/>
              <w:rPr/>
            </w:pPr>
            <w:r>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93" w:name="xdx_902_ecustom--WarrantsOutstandingWeig"/>
            <w:bookmarkEnd w:id="893"/>
            <w:r>
              <w:rPr/>
              <w:t>3.9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4" w:name="xdx_98D_eus-gaap--ShareBasedCompensation"/>
            <w:bookmarkEnd w:id="894"/>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95" w:name="xdx_984_eus-gaap--ShareBasedCompensation"/>
            <w:bookmarkEnd w:id="895"/>
          </w:p>
        </w:tc>
        <w:tc>
          <w:tcPr>
            <w:tcW w:w="800" w:type="dxa"/>
            <w:tcBorders/>
            <w:shd w:fill="CCEEFF" w:val="clear"/>
            <w:vAlign w:val="center"/>
          </w:tcPr>
          <w:p>
            <w:pPr>
              <w:pStyle w:val="TableContents"/>
              <w:bidi w:val="0"/>
              <w:spacing w:before="0" w:after="283"/>
              <w:jc w:val="right"/>
              <w:rPr/>
            </w:pPr>
            <w:r>
              <w:rPr/>
              <w:t>480,347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bookmarkStart w:id="896" w:name="xdx_984_eus-gaap--ShareBasedCompensation"/>
            <w:bookmarkEnd w:id="896"/>
          </w:p>
        </w:tc>
        <w:tc>
          <w:tcPr>
            <w:tcW w:w="1540" w:type="dxa"/>
            <w:tcBorders/>
            <w:shd w:fill="CCEEFF" w:val="clear"/>
            <w:vAlign w:val="center"/>
          </w:tcPr>
          <w:p>
            <w:pPr>
              <w:pStyle w:val="TableContents"/>
              <w:bidi w:val="0"/>
              <w:spacing w:before="0" w:after="283"/>
              <w:jc w:val="right"/>
              <w:rPr/>
            </w:pPr>
            <w:r>
              <w:rPr/>
              <w:t>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97" w:name="xdx_90D_ecustom--WarrantsOutstandingWeig"/>
            <w:bookmarkEnd w:id="897"/>
            <w:r>
              <w:rPr/>
              <w:t>2.9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8" w:name="xdx_989_eus-gaap--ShareBasedCompensation"/>
            <w:bookmarkEnd w:id="898"/>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w:t>
            </w:r>
            <w:bookmarkStart w:id="899" w:name="xdx_98B_eus-gaap--ShareBasedCompensation"/>
            <w:bookmarkEnd w:id="899"/>
          </w:p>
        </w:tc>
        <w:tc>
          <w:tcPr>
            <w:tcW w:w="1540"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00" w:name="xdx_982_eus-gaap--ShareBasedCompensation"/>
            <w:bookmarkEnd w:id="900"/>
          </w:p>
        </w:tc>
        <w:tc>
          <w:tcPr>
            <w:tcW w:w="800" w:type="dxa"/>
            <w:tcBorders/>
            <w:shd w:fill="CCEEFF" w:val="clear"/>
            <w:vAlign w:val="center"/>
          </w:tcPr>
          <w:p>
            <w:pPr>
              <w:pStyle w:val="TableContents"/>
              <w:bidi w:val="0"/>
              <w:spacing w:before="0" w:after="283"/>
              <w:jc w:val="right"/>
              <w:rPr/>
            </w:pPr>
            <w:r>
              <w:rPr/>
              <w:t>473,772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bookmarkStart w:id="901" w:name="xdx_980_eus-gaap--ShareBasedCompensation"/>
            <w:bookmarkEnd w:id="901"/>
          </w:p>
        </w:tc>
        <w:tc>
          <w:tcPr>
            <w:tcW w:w="154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902" w:name="xdx_901_ecustom--WarrantsOutstandingWeig"/>
            <w:bookmarkEnd w:id="902"/>
            <w:r>
              <w:rPr/>
              <w:t>1.9</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03" w:name="xdx_981_ecustom--ClassOfWarrantOrRightsE"/>
            <w:bookmarkEnd w:id="903"/>
          </w:p>
        </w:tc>
        <w:tc>
          <w:tcPr>
            <w:tcW w:w="800" w:type="dxa"/>
            <w:tcBorders/>
            <w:shd w:fill="FFFFFF" w:val="clear"/>
            <w:vAlign w:val="center"/>
          </w:tcPr>
          <w:p>
            <w:pPr>
              <w:pStyle w:val="TableContents"/>
              <w:bidi w:val="0"/>
              <w:spacing w:before="0" w:after="283"/>
              <w:jc w:val="right"/>
              <w:rPr/>
            </w:pPr>
            <w:r>
              <w:rPr/>
              <w:t>473,772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w:t>
            </w:r>
            <w:bookmarkStart w:id="904" w:name="xdx_984_ecustom--ClassOfWarrantOrRightsW"/>
            <w:bookmarkEnd w:id="904"/>
          </w:p>
        </w:tc>
        <w:tc>
          <w:tcPr>
            <w:tcW w:w="1540"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905" w:name="xdx_90D_ecustom--WarrantsExercisableWeig"/>
            <w:bookmarkEnd w:id="905"/>
            <w:r>
              <w:rPr/>
              <w:t>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6" w:name="xdx_8AF_zZgCb6GQM5Yd"/>
      <w:bookmarkEnd w:id="9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7" w:name="xdx_89C_ecustom--ScheduleOfWarrantsOrRig"/>
      <w:bookmarkEnd w:id="907"/>
      <w:r>
        <w:rPr>
          <w:rFonts w:ascii="Times New Roman;Times;Serif" w:hAnsi="Times New Roman;Times;Serif"/>
          <w:b w:val="false"/>
          <w:i w:val="false"/>
          <w:caps w:val="false"/>
          <w:smallCaps w:val="false"/>
          <w:sz w:val="20"/>
        </w:rPr>
        <w:t>The following table presents information related to warrants (ViralClear) at December 31, 2025:</w:t>
      </w:r>
    </w:p>
    <w:p>
      <w:pPr>
        <w:pStyle w:val="TextBody"/>
        <w:bidi w:val="0"/>
        <w:spacing w:before="0" w:after="0"/>
        <w:ind w:left="0" w:right="0" w:hanging="0"/>
        <w:jc w:val="both"/>
        <w:rPr>
          <w:caps w:val="false"/>
          <w:smallCaps w:val="false"/>
        </w:rPr>
      </w:pPr>
      <w:r>
        <w:rPr>
          <w:caps w:val="false"/>
          <w:smallCaps w:val="false"/>
        </w:rPr>
        <w:t> </w:t>
      </w:r>
      <w:bookmarkStart w:id="908" w:name="xdx_8B5_z55LjiWTBuEl"/>
      <w:bookmarkEnd w:id="908"/>
      <w:r>
        <w:rPr>
          <w:rFonts w:ascii="Times New Roman;Times;Serif" w:hAnsi="Times New Roman;Times;Serif"/>
          <w:b w:val="false"/>
          <w:i w:val="false"/>
          <w:caps w:val="false"/>
          <w:smallCaps w:val="false"/>
          <w:sz w:val="20"/>
        </w:rPr>
        <w:t>SCHEDULE OF INFORMATION RELATED TO WARRANTS</w:t>
      </w:r>
    </w:p>
    <w:tbl>
      <w:tblPr>
        <w:tblW w:w="3870"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60"/>
        <w:gridCol w:w="1325"/>
        <w:gridCol w:w="75"/>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left"/>
              <w:rPr/>
            </w:pPr>
            <w:r>
              <w:rPr/>
              <w:t> </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231" w:type="dxa"/>
            <w:tcBorders/>
            <w:shd w:fill="CCEEFF" w:val="clear"/>
            <w:vAlign w:val="center"/>
          </w:tcPr>
          <w:p>
            <w:pPr>
              <w:pStyle w:val="TableContents"/>
              <w:bidi w:val="0"/>
              <w:spacing w:before="0" w:after="283"/>
              <w:jc w:val="left"/>
              <w:rPr/>
            </w:pPr>
            <w:r>
              <w:rPr/>
              <w:t>$</w:t>
            </w:r>
            <w:bookmarkStart w:id="909" w:name="xdx_98A_eus-gaap--ClassOfWarrantOrRightE"/>
            <w:bookmarkEnd w:id="909"/>
          </w:p>
        </w:tc>
        <w:tc>
          <w:tcPr>
            <w:tcW w:w="659"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910" w:name="xdx_986_eus-gaap--ClassOfWarrantOrRightO"/>
            <w:bookmarkEnd w:id="910"/>
          </w:p>
        </w:tc>
        <w:tc>
          <w:tcPr>
            <w:tcW w:w="1191"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1" w:name="xdx_989_ecustom--WarrantsExpirationDateD"/>
            <w:bookmarkEnd w:id="911"/>
          </w:p>
        </w:tc>
        <w:tc>
          <w:tcPr>
            <w:tcW w:w="13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November 2027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2" w:name="xdx_8AD_zPqgGk2VlzHj"/>
      <w:bookmarkEnd w:id="91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(ViralClear)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3" w:name="xdx_89D_eus-gaap--NonvestedRestrictedSto"/>
      <w:bookmarkEnd w:id="913"/>
      <w:r>
        <w:rPr>
          <w:rFonts w:ascii="Times New Roman;Times;Serif" w:hAnsi="Times New Roman;Times;Serif"/>
          <w:b w:val="false"/>
          <w:i w:val="false"/>
          <w:caps w:val="false"/>
          <w:smallCaps w:val="false"/>
          <w:sz w:val="20"/>
        </w:rPr>
        <w:t>The following table summarizes the restricted stock activity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914" w:name="xdx_8BD_zG17YLMM9f65"/>
      <w:bookmarkEnd w:id="914"/>
      <w:r>
        <w:rPr>
          <w:rFonts w:ascii="Times New Roman;Times;Serif" w:hAnsi="Times New Roman;Times;Serif"/>
          <w:b w:val="false"/>
          <w:i w:val="false"/>
          <w:caps w:val="false"/>
          <w:smallCaps w:val="false"/>
          <w:sz w:val="20"/>
        </w:rPr>
        <w:t>SCHEDULE OF RESTRICTED STOCK ACTIVITY</w:t>
      </w:r>
    </w:p>
    <w:tbl>
      <w:tblPr>
        <w:tblW w:w="5850" w:type="dxa"/>
        <w:jc w:val="left"/>
        <w:tblInd w:w="0" w:type="dxa"/>
        <w:tblLayout w:type="fixed"/>
        <w:tblCellMar>
          <w:top w:w="0" w:type="dxa"/>
          <w:left w:w="0" w:type="dxa"/>
          <w:bottom w:w="0" w:type="dxa"/>
          <w:right w:w="0" w:type="dxa"/>
        </w:tblCellMar>
      </w:tblPr>
      <w:tblGrid>
        <w:gridCol w:w="4640"/>
        <w:gridCol w:w="60"/>
        <w:gridCol w:w="60"/>
        <w:gridCol w:w="980"/>
        <w:gridCol w:w="110"/>
      </w:tblGrid>
      <w:tr>
        <w:trPr/>
        <w:tc>
          <w:tcPr>
            <w:tcW w:w="46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shares issued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5" w:name="xdx_984_eus-gaap--ShareBasedCompensation"/>
            <w:bookmarkEnd w:id="915"/>
          </w:p>
        </w:tc>
        <w:tc>
          <w:tcPr>
            <w:tcW w:w="980" w:type="dxa"/>
            <w:tcBorders/>
            <w:shd w:fill="CCEEFF" w:val="clear"/>
            <w:vAlign w:val="center"/>
          </w:tcPr>
          <w:p>
            <w:pPr>
              <w:pStyle w:val="TableContents"/>
              <w:bidi w:val="0"/>
              <w:spacing w:before="0" w:after="283"/>
              <w:jc w:val="right"/>
              <w:rPr/>
            </w:pPr>
            <w:r>
              <w:rPr/>
              <w:t>1,078,679</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6" w:name="xdx_98E_eus-gaap--ShareBasedCompensation"/>
            <w:bookmarkEnd w:id="91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(400,000</w:t>
            </w:r>
          </w:p>
        </w:tc>
        <w:tc>
          <w:tcPr>
            <w:tcW w:w="11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shares 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7" w:name="xdx_98E_eus-gaap--ShareBasedCompensation"/>
            <w:bookmarkEnd w:id="917"/>
          </w:p>
        </w:tc>
        <w:tc>
          <w:tcPr>
            <w:tcW w:w="980" w:type="dxa"/>
            <w:tcBorders/>
            <w:shd w:fill="CCEEFF" w:val="clear"/>
            <w:vAlign w:val="center"/>
          </w:tcPr>
          <w:p>
            <w:pPr>
              <w:pStyle w:val="TableContents"/>
              <w:bidi w:val="0"/>
              <w:spacing w:before="0" w:after="283"/>
              <w:jc w:val="right"/>
              <w:rPr/>
            </w:pPr>
            <w:r>
              <w:rPr/>
              <w:t>678,679</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8" w:name="xdx_989_eus-gaap--ShareBasedCompensation"/>
            <w:bookmarkEnd w:id="91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restricted shares 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19" w:name="xdx_983_eus-gaap--ShareBasedCompensation"/>
            <w:bookmarkEnd w:id="91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678,679</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restricted shares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20" w:name="xdx_987_ecustom--ShareBasedCompensationA"/>
            <w:bookmarkEnd w:id="920"/>
          </w:p>
        </w:tc>
        <w:tc>
          <w:tcPr>
            <w:tcW w:w="980" w:type="dxa"/>
            <w:tcBorders/>
            <w:shd w:fill="FFFFFF" w:val="clear"/>
            <w:vAlign w:val="center"/>
          </w:tcPr>
          <w:p>
            <w:pPr>
              <w:pStyle w:val="TableContents"/>
              <w:bidi w:val="0"/>
              <w:spacing w:before="0" w:after="283"/>
              <w:jc w:val="right"/>
              <w:rPr/>
            </w:pPr>
            <w:r>
              <w:rPr/>
              <w:t>678,679</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restricted shares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1" w:name="xdx_98D_ecustom--ShareBasedCompensationA"/>
            <w:bookmarkEnd w:id="92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2" w:name="xdx_98A_ecustom--ShareBasedCompensationA"/>
            <w:bookmarkEnd w:id="92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678,679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3" w:name="xdx_8AB_zywYSvtRAlj4"/>
      <w:bookmarkEnd w:id="92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BioSig AI 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(BioSig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4" w:name="xdx_891_ecustom--ScheduleOfWarrantsOrRig"/>
      <w:bookmarkEnd w:id="924"/>
      <w:r>
        <w:rPr>
          <w:rFonts w:ascii="Times New Roman;Times;Serif" w:hAnsi="Times New Roman;Times;Serif"/>
          <w:b w:val="false"/>
          <w:i w:val="false"/>
          <w:caps w:val="false"/>
          <w:smallCaps w:val="false"/>
          <w:sz w:val="20"/>
        </w:rPr>
        <w:t>The following table summarizes information with respect to outstanding warrants to purchase common stock of BioSig AI at December 31, 2025:</w:t>
      </w:r>
    </w:p>
    <w:p>
      <w:pPr>
        <w:pStyle w:val="TextBody"/>
        <w:bidi w:val="0"/>
        <w:spacing w:before="0" w:after="0"/>
        <w:ind w:left="0" w:right="0" w:hanging="0"/>
        <w:jc w:val="both"/>
        <w:rPr>
          <w:caps w:val="false"/>
          <w:smallCaps w:val="false"/>
        </w:rPr>
      </w:pPr>
      <w:r>
        <w:rPr>
          <w:caps w:val="false"/>
          <w:smallCaps w:val="false"/>
        </w:rPr>
        <w:t> </w:t>
      </w:r>
      <w:bookmarkStart w:id="925" w:name="xdx_8B4_zSQxfGEVEVyi"/>
      <w:bookmarkEnd w:id="925"/>
      <w:r>
        <w:rPr>
          <w:rFonts w:ascii="Times New Roman;Times;Serif" w:hAnsi="Times New Roman;Times;Serif"/>
          <w:b w:val="false"/>
          <w:i w:val="false"/>
          <w:caps w:val="false"/>
          <w:smallCaps w:val="false"/>
          <w:sz w:val="20"/>
        </w:rPr>
        <w:t>SCHEDULE OF INFORMATION RELATED TO WARRANTS</w:t>
      </w:r>
    </w:p>
    <w:tbl>
      <w:tblPr>
        <w:tblW w:w="3810"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60"/>
        <w:gridCol w:w="1265"/>
        <w:gridCol w:w="75"/>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left"/>
              <w:rPr/>
            </w:pPr>
            <w:r>
              <w:rPr/>
              <w:t> </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231" w:type="dxa"/>
            <w:tcBorders/>
            <w:shd w:fill="CCEEFF" w:val="clear"/>
            <w:vAlign w:val="center"/>
          </w:tcPr>
          <w:p>
            <w:pPr>
              <w:pStyle w:val="TableContents"/>
              <w:bidi w:val="0"/>
              <w:spacing w:before="0" w:after="283"/>
              <w:jc w:val="left"/>
              <w:rPr/>
            </w:pPr>
            <w:r>
              <w:rPr/>
              <w:t>$</w:t>
            </w:r>
            <w:bookmarkStart w:id="926" w:name="xdx_989_eus-gaap--ClassOfWarrantOrRightE"/>
            <w:bookmarkEnd w:id="926"/>
          </w:p>
        </w:tc>
        <w:tc>
          <w:tcPr>
            <w:tcW w:w="659"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927" w:name="xdx_985_eus-gaap--ClassOfWarrantOrRightO"/>
            <w:bookmarkEnd w:id="927"/>
          </w:p>
        </w:tc>
        <w:tc>
          <w:tcPr>
            <w:tcW w:w="1191" w:type="dxa"/>
            <w:tcBorders/>
            <w:shd w:fill="CCEEFF" w:val="clear"/>
            <w:vAlign w:val="center"/>
          </w:tcPr>
          <w:p>
            <w:pPr>
              <w:pStyle w:val="TableContents"/>
              <w:bidi w:val="0"/>
              <w:spacing w:before="0" w:after="283"/>
              <w:jc w:val="right"/>
              <w:rPr/>
            </w:pPr>
            <w:r>
              <w:rPr/>
              <w:t>130,500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28" w:name="xdx_983_ecustom--WarrantsExpirationDateD"/>
            <w:bookmarkEnd w:id="928"/>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June-July 2028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9" w:name="xdx_8AB_zQmaRQk3ef87"/>
      <w:bookmarkEnd w:id="92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0" w:name="xdx_805_eus-gaap--MinorityInterestDisclo"/>
      <w:bookmarkEnd w:id="930"/>
      <w:r>
        <w:rPr>
          <w:rFonts w:ascii="Times New Roman;Times;Serif" w:hAnsi="Times New Roman;Times;Serif"/>
          <w:b/>
          <w:i w:val="false"/>
          <w:caps w:val="false"/>
          <w:smallCaps w:val="false"/>
          <w:sz w:val="20"/>
        </w:rPr>
        <w:t xml:space="preserve">NOTE 9 – </w:t>
      </w:r>
      <w:bookmarkStart w:id="931" w:name="xdx_82E_zhDNQMQ7sb9"/>
      <w:bookmarkEnd w:id="931"/>
      <w:r>
        <w:rPr>
          <w:rFonts w:ascii="Times New Roman;Times;Serif" w:hAnsi="Times New Roman;Times;Serif"/>
          <w:b/>
          <w:i w:val="false"/>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 Company had a majority interest in ViralClear of </w:t>
      </w:r>
      <w:bookmarkStart w:id="932" w:name="xdx_900_eus-gaap--EquityMethodInvestment"/>
      <w:bookmarkEnd w:id="932"/>
      <w:r>
        <w:rPr>
          <w:rFonts w:ascii="Times New Roman;Times;Serif" w:hAnsi="Times New Roman;Times;Serif"/>
          <w:b w:val="false"/>
          <w:i w:val="false"/>
          <w:caps w:val="false"/>
          <w:smallCaps w:val="false"/>
          <w:sz w:val="20"/>
        </w:rPr>
        <w:t xml:space="preserve">69.74% and </w:t>
      </w:r>
      <w:bookmarkStart w:id="933" w:name="xdx_909_eus-gaap--EquityMethodInvestment"/>
      <w:bookmarkEnd w:id="933"/>
      <w:r>
        <w:rPr>
          <w:rFonts w:ascii="Times New Roman;Times;Serif" w:hAnsi="Times New Roman;Times;Serif"/>
          <w:b w:val="false"/>
          <w:i w:val="false"/>
          <w:caps w:val="false"/>
          <w:smallCaps w:val="false"/>
          <w:sz w:val="20"/>
        </w:rPr>
        <w:t xml:space="preserve">69.08%, respectively. As of December 31, 2025 and 2024, the Company had a majority interest in of BioSig AI of </w:t>
      </w:r>
      <w:bookmarkStart w:id="934" w:name="xdx_90B_eus-gaap--EquityMethodInvestment"/>
      <w:bookmarkStart w:id="935" w:name="xdx_90C_eus-gaap--EquityMethodInvestment"/>
      <w:bookmarkEnd w:id="934"/>
      <w:bookmarkEnd w:id="935"/>
      <w:r>
        <w:rPr>
          <w:rFonts w:ascii="Times New Roman;Times;Serif" w:hAnsi="Times New Roman;Times;Serif"/>
          <w:b w:val="false"/>
          <w:i w:val="false"/>
          <w:caps w:val="false"/>
          <w:smallCaps w:val="false"/>
          <w:sz w:val="20"/>
        </w:rPr>
        <w:t>84.5% for both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ViralClear Pharmaceuticals, Inc. and BioSig AI Sciences, Inc. non-controlling loss attributable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6" w:name="xdx_893_ecustom--ScheduleOfNonControllin"/>
      <w:bookmarkEnd w:id="936"/>
      <w:r>
        <w:rPr>
          <w:rFonts w:ascii="Times New Roman;Times;Serif" w:hAnsi="Times New Roman;Times;Serif"/>
          <w:b w:val="false"/>
          <w:i w:val="false"/>
          <w:caps w:val="false"/>
          <w:smallCaps w:val="false"/>
          <w:sz w:val="20"/>
        </w:rPr>
        <w:t>Net loss attributable to the non-controlling interest for the year ended December 31, 2025 (000’s):</w:t>
      </w:r>
    </w:p>
    <w:p>
      <w:pPr>
        <w:pStyle w:val="TextBody"/>
        <w:bidi w:val="0"/>
        <w:spacing w:before="0" w:after="0"/>
        <w:ind w:left="0" w:right="0" w:hanging="0"/>
        <w:jc w:val="both"/>
        <w:rPr>
          <w:caps w:val="false"/>
          <w:smallCaps w:val="false"/>
        </w:rPr>
      </w:pPr>
      <w:r>
        <w:rPr>
          <w:caps w:val="false"/>
          <w:smallCaps w:val="false"/>
        </w:rPr>
        <w:t> </w:t>
      </w:r>
      <w:bookmarkStart w:id="937" w:name="xdx_8BB_zCVMZlwrDN99"/>
      <w:bookmarkEnd w:id="937"/>
      <w:r>
        <w:rPr>
          <w:rFonts w:ascii="Times New Roman;Times;Serif" w:hAnsi="Times New Roman;Times;Serif"/>
          <w:b w:val="false"/>
          <w:i w:val="false"/>
          <w:caps w:val="false"/>
          <w:smallCaps w:val="false"/>
          <w:sz w:val="20"/>
        </w:rPr>
        <w:t>SCHEDULE OF NON-CONTROLLING INTEREST</w:t>
      </w:r>
    </w:p>
    <w:tbl>
      <w:tblPr>
        <w:tblW w:w="10205" w:type="dxa"/>
        <w:jc w:val="left"/>
        <w:tblInd w:w="0" w:type="dxa"/>
        <w:tblLayout w:type="fixed"/>
        <w:tblCellMar>
          <w:top w:w="0" w:type="dxa"/>
          <w:left w:w="0" w:type="dxa"/>
          <w:bottom w:w="0" w:type="dxa"/>
          <w:right w:w="0" w:type="dxa"/>
        </w:tblCellMar>
      </w:tblPr>
      <w:tblGrid>
        <w:gridCol w:w="5109"/>
        <w:gridCol w:w="60"/>
        <w:gridCol w:w="769"/>
        <w:gridCol w:w="1432"/>
        <w:gridCol w:w="215"/>
        <w:gridCol w:w="60"/>
        <w:gridCol w:w="477"/>
        <w:gridCol w:w="884"/>
        <w:gridCol w:w="215"/>
        <w:gridCol w:w="60"/>
        <w:gridCol w:w="242"/>
        <w:gridCol w:w="449"/>
        <w:gridCol w:w="233"/>
      </w:tblGrid>
      <w:tr>
        <w:trPr/>
        <w:tc>
          <w:tcPr>
            <w:tcW w:w="51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38" w:name="xdx_491_20250101__20251231__srt--Consoli"/>
            <w:bookmarkEnd w:id="938"/>
          </w:p>
        </w:tc>
        <w:tc>
          <w:tcPr>
            <w:tcW w:w="2201" w:type="dxa"/>
            <w:gridSpan w:val="2"/>
            <w:tcBorders/>
            <w:vAlign w:val="center"/>
          </w:tcPr>
          <w:p>
            <w:pPr>
              <w:pStyle w:val="TableContents"/>
              <w:bidi w:val="0"/>
              <w:spacing w:before="0" w:after="283"/>
              <w:jc w:val="center"/>
              <w:rPr>
                <w:b/>
              </w:rPr>
            </w:pPr>
            <w:r>
              <w:rPr>
                <w:b/>
              </w:rPr>
              <w:t>ViralClear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9" w:name="xdx_491_20250101__20251231__srt--Consoli"/>
            <w:bookmarkEnd w:id="939"/>
          </w:p>
        </w:tc>
        <w:tc>
          <w:tcPr>
            <w:tcW w:w="1361" w:type="dxa"/>
            <w:gridSpan w:val="2"/>
            <w:tcBorders/>
            <w:vAlign w:val="center"/>
          </w:tcPr>
          <w:p>
            <w:pPr>
              <w:pStyle w:val="TableContents"/>
              <w:bidi w:val="0"/>
              <w:spacing w:before="0" w:after="283"/>
              <w:jc w:val="center"/>
              <w:rPr>
                <w:b/>
              </w:rPr>
            </w:pPr>
            <w:r>
              <w:rPr>
                <w:b/>
              </w:rPr>
              <w:t>BioSig AI</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0" w:name="xdx_490_20250101__20251231_z4dquu28kEq1"/>
            <w:bookmarkEnd w:id="940"/>
          </w:p>
        </w:tc>
        <w:tc>
          <w:tcPr>
            <w:tcW w:w="691"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51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1" w:type="dxa"/>
            <w:gridSpan w:val="2"/>
            <w:tcBorders/>
            <w:vAlign w:val="center"/>
          </w:tcPr>
          <w:p>
            <w:pPr>
              <w:pStyle w:val="TableContents"/>
              <w:bidi w:val="0"/>
              <w:spacing w:before="0" w:after="283"/>
              <w:jc w:val="center"/>
              <w:rPr>
                <w:b/>
              </w:rPr>
            </w:pPr>
            <w:r>
              <w:rPr>
                <w:b/>
              </w:rPr>
              <w:t>Pharmaceuticals, Inc.</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b/>
              </w:rPr>
            </w:pPr>
            <w:r>
              <w:rPr>
                <w:b/>
              </w:rPr>
              <w:t>Sciences, Inc.</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gridSpan w:val="2"/>
            <w:tcBorders/>
            <w:vAlign w:val="center"/>
          </w:tcPr>
          <w:p>
            <w:pPr>
              <w:pStyle w:val="TableContents"/>
              <w:bidi w:val="0"/>
              <w:spacing w:before="0" w:after="283"/>
              <w:jc w:val="center"/>
              <w:rPr>
                <w:b/>
              </w:rPr>
            </w:pPr>
            <w:r>
              <w:rPr>
                <w:b/>
              </w:rPr>
              <w:t>Total</w:t>
            </w:r>
          </w:p>
        </w:tc>
        <w:tc>
          <w:tcPr>
            <w:tcW w:w="233" w:type="dxa"/>
            <w:tcBorders/>
            <w:vAlign w:val="center"/>
          </w:tcPr>
          <w:p>
            <w:pPr>
              <w:pStyle w:val="TableContents"/>
              <w:bidi w:val="0"/>
              <w:spacing w:before="0" w:after="283"/>
              <w:jc w:val="left"/>
              <w:rPr/>
            </w:pPr>
            <w:r>
              <w:rPr/>
              <w:t> </w:t>
            </w:r>
          </w:p>
        </w:tc>
      </w:tr>
      <w:tr>
        <w:trPr/>
        <w:tc>
          <w:tcPr>
            <w:tcW w:w="51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233" w:type="dxa"/>
            <w:tcBorders/>
            <w:vAlign w:val="center"/>
          </w:tcPr>
          <w:p>
            <w:pPr>
              <w:pStyle w:val="TableContents"/>
              <w:bidi w:val="0"/>
              <w:spacing w:before="0" w:after="283"/>
              <w:jc w:val="left"/>
              <w:rPr/>
            </w:pPr>
            <w:r>
              <w:rPr/>
              <w:t> </w:t>
            </w:r>
            <w:bookmarkStart w:id="941" w:name="xdx_403_ecustom--NetIncomeLossOfNonContr"/>
            <w:bookmarkEnd w:id="941"/>
          </w:p>
        </w:tc>
      </w:tr>
      <w:tr>
        <w:trPr/>
        <w:tc>
          <w:tcPr>
            <w:tcW w:w="5109"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95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449" w:type="dxa"/>
            <w:tcBorders/>
            <w:shd w:fill="CCEEFF" w:val="clear"/>
            <w:vAlign w:val="center"/>
          </w:tcPr>
          <w:p>
            <w:pPr>
              <w:pStyle w:val="TableContents"/>
              <w:bidi w:val="0"/>
              <w:spacing w:before="0" w:after="283"/>
              <w:jc w:val="right"/>
              <w:rPr/>
            </w:pPr>
            <w:r>
              <w:rPr/>
              <w:t>95</w:t>
            </w:r>
          </w:p>
        </w:tc>
        <w:tc>
          <w:tcPr>
            <w:tcW w:w="233" w:type="dxa"/>
            <w:tcBorders/>
            <w:shd w:fill="CCEEFF" w:val="clear"/>
            <w:vAlign w:val="center"/>
          </w:tcPr>
          <w:p>
            <w:pPr>
              <w:pStyle w:val="TableContents"/>
              <w:bidi w:val="0"/>
              <w:spacing w:before="0" w:after="283"/>
              <w:jc w:val="left"/>
              <w:rPr/>
            </w:pPr>
            <w:r>
              <w:rPr/>
              <w:t> </w:t>
            </w:r>
            <w:bookmarkStart w:id="942" w:name="xdx_40E_ecustom--AverageNoncontrollingIn"/>
            <w:bookmarkEnd w:id="942"/>
          </w:p>
        </w:tc>
      </w:tr>
      <w:tr>
        <w:trPr/>
        <w:tc>
          <w:tcPr>
            <w:tcW w:w="5109" w:type="dxa"/>
            <w:tcBorders/>
            <w:shd w:fill="FFFFFF" w:val="clear"/>
            <w:vAlign w:val="center"/>
          </w:tcPr>
          <w:p>
            <w:pPr>
              <w:pStyle w:val="TableContents"/>
              <w:bidi w:val="0"/>
              <w:spacing w:before="0" w:after="283"/>
              <w:jc w:val="left"/>
              <w:rPr/>
            </w:pPr>
            <w:r>
              <w:rPr/>
              <w:t>Average Non-Controlling interest percentage of losses</w:t>
            </w:r>
          </w:p>
        </w:tc>
        <w:tc>
          <w:tcPr>
            <w:tcW w:w="60" w:type="dxa"/>
            <w:tcBorders/>
            <w:shd w:fill="FFFFFF" w:val="cle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33" w:type="dxa"/>
            <w:tcBorders/>
            <w:shd w:fill="FFFFFF" w:val="clear"/>
            <w:vAlign w:val="center"/>
          </w:tcPr>
          <w:p>
            <w:pPr>
              <w:pStyle w:val="TableContents"/>
              <w:bidi w:val="0"/>
              <w:spacing w:before="0" w:after="283"/>
              <w:jc w:val="left"/>
              <w:rPr/>
            </w:pPr>
            <w:r>
              <w:rPr/>
              <w:t>%</w:t>
            </w:r>
          </w:p>
        </w:tc>
      </w:tr>
      <w:tr>
        <w:trPr/>
        <w:tc>
          <w:tcPr>
            <w:tcW w:w="5109" w:type="dxa"/>
            <w:tcBorders/>
            <w:shd w:fill="CCEEFF" w:val="clear"/>
            <w:vAlign w:val="center"/>
          </w:tcPr>
          <w:p>
            <w:pPr>
              <w:pStyle w:val="TableContents"/>
              <w:bidi w:val="0"/>
              <w:spacing w:before="0" w:after="283"/>
              <w:jc w:val="left"/>
              <w:rPr/>
            </w:pPr>
            <w:r>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43" w:name="xdx_901_eus-gaap--NetIncomeLossAttributa"/>
            <w:bookmarkEnd w:id="943"/>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44" w:name="xdx_90C_eus-gaap--NetIncomeLossAttributa"/>
            <w:bookmarkEnd w:id="944"/>
            <w:r>
              <w:rPr/>
              <w:t>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4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45" w:name="xdx_903_eus-gaap--NetIncomeLossAttributa"/>
            <w:bookmarkEnd w:id="945"/>
            <w:r>
              <w:rPr/>
              <w:t>15</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for the year ended December 31, 2024 (000’s):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1"/>
        <w:gridCol w:w="60"/>
        <w:gridCol w:w="632"/>
        <w:gridCol w:w="1520"/>
        <w:gridCol w:w="215"/>
        <w:gridCol w:w="60"/>
        <w:gridCol w:w="463"/>
        <w:gridCol w:w="849"/>
        <w:gridCol w:w="215"/>
        <w:gridCol w:w="60"/>
        <w:gridCol w:w="194"/>
        <w:gridCol w:w="482"/>
        <w:gridCol w:w="234"/>
      </w:tblGrid>
      <w:tr>
        <w:trPr/>
        <w:tc>
          <w:tcPr>
            <w:tcW w:w="52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46" w:name="xdx_49E_20240101__20241231__srt--Consoli"/>
            <w:bookmarkEnd w:id="946"/>
          </w:p>
        </w:tc>
        <w:tc>
          <w:tcPr>
            <w:tcW w:w="2152" w:type="dxa"/>
            <w:gridSpan w:val="2"/>
            <w:tcBorders/>
            <w:vAlign w:val="center"/>
          </w:tcPr>
          <w:p>
            <w:pPr>
              <w:pStyle w:val="TableContents"/>
              <w:bidi w:val="0"/>
              <w:spacing w:before="0" w:after="283"/>
              <w:jc w:val="center"/>
              <w:rPr>
                <w:b/>
              </w:rPr>
            </w:pPr>
            <w:r>
              <w:rPr>
                <w:b/>
              </w:rPr>
              <w:t>ViralClear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7" w:name="xdx_496_20240101__20241231__srt--Consoli"/>
            <w:bookmarkEnd w:id="947"/>
          </w:p>
        </w:tc>
        <w:tc>
          <w:tcPr>
            <w:tcW w:w="1312" w:type="dxa"/>
            <w:gridSpan w:val="2"/>
            <w:tcBorders/>
            <w:vAlign w:val="center"/>
          </w:tcPr>
          <w:p>
            <w:pPr>
              <w:pStyle w:val="TableContents"/>
              <w:bidi w:val="0"/>
              <w:spacing w:before="0" w:after="283"/>
              <w:jc w:val="center"/>
              <w:rPr>
                <w:b/>
              </w:rPr>
            </w:pPr>
            <w:r>
              <w:rPr>
                <w:b/>
              </w:rPr>
              <w:t>BioSig AI</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8" w:name="xdx_493_20240101__20241231_zmHqDUavvJ29"/>
            <w:bookmarkEnd w:id="948"/>
          </w:p>
        </w:tc>
        <w:tc>
          <w:tcPr>
            <w:tcW w:w="676"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2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2" w:type="dxa"/>
            <w:gridSpan w:val="2"/>
            <w:tcBorders/>
            <w:vAlign w:val="center"/>
          </w:tcPr>
          <w:p>
            <w:pPr>
              <w:pStyle w:val="TableContents"/>
              <w:bidi w:val="0"/>
              <w:spacing w:before="0" w:after="283"/>
              <w:jc w:val="center"/>
              <w:rPr>
                <w:b/>
              </w:rPr>
            </w:pPr>
            <w:r>
              <w:rPr>
                <w:b/>
              </w:rPr>
              <w:t>Pharmaceuticals, Inc.</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center"/>
              <w:rPr>
                <w:b/>
              </w:rPr>
            </w:pPr>
            <w:r>
              <w:rPr>
                <w:b/>
              </w:rPr>
              <w:t>Sciences, Inc.</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center"/>
              <w:rPr>
                <w:b/>
              </w:rPr>
            </w:pPr>
            <w:r>
              <w:rPr>
                <w:b/>
              </w:rPr>
              <w:t>Total</w:t>
            </w:r>
          </w:p>
        </w:tc>
        <w:tc>
          <w:tcPr>
            <w:tcW w:w="234" w:type="dxa"/>
            <w:tcBorders/>
            <w:vAlign w:val="center"/>
          </w:tcPr>
          <w:p>
            <w:pPr>
              <w:pStyle w:val="TableContents"/>
              <w:bidi w:val="0"/>
              <w:spacing w:before="0" w:after="283"/>
              <w:jc w:val="left"/>
              <w:rPr/>
            </w:pPr>
            <w:r>
              <w:rPr/>
              <w:t> </w:t>
            </w:r>
          </w:p>
        </w:tc>
      </w:tr>
      <w:tr>
        <w:trPr/>
        <w:tc>
          <w:tcPr>
            <w:tcW w:w="52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234" w:type="dxa"/>
            <w:tcBorders/>
            <w:vAlign w:val="center"/>
          </w:tcPr>
          <w:p>
            <w:pPr>
              <w:pStyle w:val="TableContents"/>
              <w:bidi w:val="0"/>
              <w:spacing w:before="0" w:after="283"/>
              <w:jc w:val="left"/>
              <w:rPr/>
            </w:pPr>
            <w:r>
              <w:rPr/>
              <w:t> </w:t>
            </w:r>
            <w:bookmarkStart w:id="949" w:name="xdx_403_ecustom--NetIncomeLossOfNonContr"/>
            <w:bookmarkEnd w:id="949"/>
          </w:p>
        </w:tc>
      </w:tr>
      <w:tr>
        <w:trPr/>
        <w:tc>
          <w:tcPr>
            <w:tcW w:w="522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482" w:type="dxa"/>
            <w:tcBorders/>
            <w:shd w:fill="CCEEFF" w:val="clear"/>
            <w:vAlign w:val="center"/>
          </w:tcPr>
          <w:p>
            <w:pPr>
              <w:pStyle w:val="TableContents"/>
              <w:bidi w:val="0"/>
              <w:spacing w:before="0" w:after="283"/>
              <w:jc w:val="right"/>
              <w:rPr/>
            </w:pPr>
            <w:r>
              <w:rPr/>
              <w:t>(17)</w:t>
            </w:r>
          </w:p>
        </w:tc>
        <w:tc>
          <w:tcPr>
            <w:tcW w:w="234" w:type="dxa"/>
            <w:tcBorders/>
            <w:shd w:fill="CCEEFF" w:val="clear"/>
            <w:vAlign w:val="center"/>
          </w:tcPr>
          <w:p>
            <w:pPr>
              <w:pStyle w:val="TableContents"/>
              <w:bidi w:val="0"/>
              <w:spacing w:before="0" w:after="283"/>
              <w:jc w:val="left"/>
              <w:rPr/>
            </w:pPr>
            <w:r>
              <w:rPr/>
              <w:t> </w:t>
            </w:r>
            <w:bookmarkStart w:id="950" w:name="xdx_40E_ecustom--AverageNoncontrollingIn"/>
            <w:bookmarkEnd w:id="950"/>
          </w:p>
        </w:tc>
      </w:tr>
      <w:tr>
        <w:trPr/>
        <w:tc>
          <w:tcPr>
            <w:tcW w:w="5221" w:type="dxa"/>
            <w:tcBorders/>
            <w:shd w:fill="FFFFFF" w:val="clear"/>
            <w:vAlign w:val="center"/>
          </w:tcPr>
          <w:p>
            <w:pPr>
              <w:pStyle w:val="TableContents"/>
              <w:bidi w:val="0"/>
              <w:spacing w:before="0" w:after="283"/>
              <w:jc w:val="left"/>
              <w:rPr/>
            </w:pPr>
            <w:r>
              <w:rPr/>
              <w:t>Average Non-Controlling interest percentage of profit/losses</w:t>
            </w:r>
          </w:p>
        </w:tc>
        <w:tc>
          <w:tcPr>
            <w:tcW w:w="60" w:type="dxa"/>
            <w:tcBorders/>
            <w:shd w:fill="FFFFFF" w:val="clear"/>
            <w:vAlign w:val="center"/>
          </w:tcPr>
          <w:p>
            <w:pPr>
              <w:pStyle w:val="TableContents"/>
              <w:bidi w:val="0"/>
              <w:spacing w:before="0" w:after="283"/>
              <w:jc w:val="left"/>
              <w:rPr/>
            </w:pPr>
            <w:r>
              <w:rPr/>
              <w:t> </w:t>
            </w:r>
          </w:p>
        </w:tc>
        <w:tc>
          <w:tcPr>
            <w:tcW w:w="6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2"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234" w:type="dxa"/>
            <w:tcBorders/>
            <w:shd w:fill="FFFFFF" w:val="clear"/>
            <w:vAlign w:val="center"/>
          </w:tcPr>
          <w:p>
            <w:pPr>
              <w:pStyle w:val="TableContents"/>
              <w:bidi w:val="0"/>
              <w:spacing w:before="0" w:after="283"/>
              <w:jc w:val="left"/>
              <w:rPr/>
            </w:pPr>
            <w:r>
              <w:rPr/>
              <w:t>%</w:t>
            </w:r>
          </w:p>
        </w:tc>
      </w:tr>
      <w:tr>
        <w:trPr/>
        <w:tc>
          <w:tcPr>
            <w:tcW w:w="5221" w:type="dxa"/>
            <w:tcBorders/>
            <w:shd w:fill="CCEEFF" w:val="clear"/>
            <w:vAlign w:val="center"/>
          </w:tcPr>
          <w:p>
            <w:pPr>
              <w:pStyle w:val="TableContents"/>
              <w:bidi w:val="0"/>
              <w:spacing w:before="0" w:after="283"/>
              <w:jc w:val="left"/>
              <w:rPr/>
            </w:pPr>
            <w:r>
              <w:rPr/>
              <w:t>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63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51" w:name="xdx_907_eus-gaap--NetIncomeLossAttributa"/>
            <w:bookmarkEnd w:id="951"/>
            <w:r>
              <w:rPr/>
              <w:t>(13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52" w:name="xdx_90E_eus-gaap--NetIncomeLossAttributa"/>
            <w:bookmarkEnd w:id="952"/>
            <w:r>
              <w:rPr/>
              <w:t>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8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953" w:name="xdx_90F_eus-gaap--NetIncomeLossAttributa"/>
            <w:bookmarkEnd w:id="953"/>
            <w:r>
              <w:rPr/>
              <w:t>(9)</w:t>
            </w:r>
          </w:p>
        </w:tc>
        <w:tc>
          <w:tcPr>
            <w:tcW w:w="23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54" w:name="xdx_8A6_zBcoZFcclai4"/>
      <w:bookmarkEnd w:id="95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5" w:name="xdx_890_eus-gaap--ConsolidationLessThanW"/>
      <w:bookmarkEnd w:id="955"/>
      <w:r>
        <w:rPr>
          <w:rFonts w:ascii="Times New Roman;Times;Serif" w:hAnsi="Times New Roman;Times;Serif"/>
          <w:b w:val="false"/>
          <w:i w:val="false"/>
          <w:caps w:val="false"/>
          <w:smallCaps w:val="false"/>
          <w:sz w:val="20"/>
        </w:rPr>
        <w:t>The following table summarizes the changes in non-controlling interest for the year ended December 31, 2025 (000’s):</w:t>
      </w:r>
    </w:p>
    <w:p>
      <w:pPr>
        <w:pStyle w:val="TextBody"/>
        <w:bidi w:val="0"/>
        <w:spacing w:before="0" w:after="0"/>
        <w:ind w:left="0" w:right="0" w:hanging="0"/>
        <w:jc w:val="both"/>
        <w:rPr>
          <w:caps w:val="false"/>
          <w:smallCaps w:val="false"/>
        </w:rPr>
      </w:pPr>
      <w:r>
        <w:rPr>
          <w:caps w:val="false"/>
          <w:smallCaps w:val="false"/>
        </w:rPr>
        <w:t> </w:t>
      </w:r>
      <w:bookmarkStart w:id="956" w:name="xdx_8B3_zNdU4E9p4Qq5"/>
      <w:bookmarkEnd w:id="956"/>
      <w:r>
        <w:rPr>
          <w:rFonts w:ascii="Times New Roman;Times;Serif" w:hAnsi="Times New Roman;Times;Serif"/>
          <w:b w:val="false"/>
          <w:i w:val="false"/>
          <w:caps w:val="false"/>
          <w:smallCaps w:val="false"/>
          <w:sz w:val="20"/>
        </w:rPr>
        <w:t>SCHEDULE OF CHANGES IN NON-CONTROLLING INTEREST</w:t>
      </w:r>
    </w:p>
    <w:tbl>
      <w:tblPr>
        <w:tblW w:w="9413" w:type="dxa"/>
        <w:jc w:val="left"/>
        <w:tblInd w:w="0" w:type="dxa"/>
        <w:tblLayout w:type="fixed"/>
        <w:tblCellMar>
          <w:top w:w="0" w:type="dxa"/>
          <w:left w:w="0" w:type="dxa"/>
          <w:bottom w:w="0" w:type="dxa"/>
          <w:right w:w="0" w:type="dxa"/>
        </w:tblCellMar>
      </w:tblPr>
      <w:tblGrid>
        <w:gridCol w:w="4730"/>
        <w:gridCol w:w="60"/>
        <w:gridCol w:w="519"/>
        <w:gridCol w:w="1691"/>
        <w:gridCol w:w="95"/>
        <w:gridCol w:w="60"/>
        <w:gridCol w:w="367"/>
        <w:gridCol w:w="1002"/>
        <w:gridCol w:w="60"/>
        <w:gridCol w:w="60"/>
        <w:gridCol w:w="243"/>
        <w:gridCol w:w="451"/>
        <w:gridCol w:w="7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7" w:name="xdx_4B3_srt--ConsolidatedEntitiesAxis_cu"/>
            <w:bookmarkEnd w:id="957"/>
          </w:p>
        </w:tc>
        <w:tc>
          <w:tcPr>
            <w:tcW w:w="2210" w:type="dxa"/>
            <w:gridSpan w:val="2"/>
            <w:tcBorders/>
            <w:vAlign w:val="center"/>
          </w:tcPr>
          <w:p>
            <w:pPr>
              <w:pStyle w:val="TableContents"/>
              <w:bidi w:val="0"/>
              <w:spacing w:before="0" w:after="283"/>
              <w:jc w:val="center"/>
              <w:rPr>
                <w:b/>
              </w:rPr>
            </w:pPr>
            <w:r>
              <w:rPr>
                <w:b/>
              </w:rPr>
              <w:t>ViralClear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8" w:name="xdx_4B8_srt--ConsolidatedEntitiesAxis_cu"/>
            <w:bookmarkEnd w:id="958"/>
          </w:p>
        </w:tc>
        <w:tc>
          <w:tcPr>
            <w:tcW w:w="1369" w:type="dxa"/>
            <w:gridSpan w:val="2"/>
            <w:tcBorders/>
            <w:vAlign w:val="center"/>
          </w:tcPr>
          <w:p>
            <w:pPr>
              <w:pStyle w:val="TableContents"/>
              <w:bidi w:val="0"/>
              <w:spacing w:before="0" w:after="283"/>
              <w:jc w:val="center"/>
              <w:rPr>
                <w:b/>
              </w:rPr>
            </w:pPr>
            <w:r>
              <w:rPr>
                <w:b/>
              </w:rPr>
              <w:t>BioSig AI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9" w:name="xdx_4BF_zwTELAzVEjw9"/>
            <w:bookmarkEnd w:id="959"/>
          </w:p>
        </w:tc>
        <w:tc>
          <w:tcPr>
            <w:tcW w:w="6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0" w:type="dxa"/>
            <w:gridSpan w:val="2"/>
            <w:tcBorders/>
            <w:vAlign w:val="center"/>
          </w:tcPr>
          <w:p>
            <w:pPr>
              <w:pStyle w:val="TableContents"/>
              <w:bidi w:val="0"/>
              <w:spacing w:before="0" w:after="283"/>
              <w:jc w:val="center"/>
              <w:rPr>
                <w:b/>
              </w:rPr>
            </w:pPr>
            <w:r>
              <w:rPr>
                <w:b/>
              </w:rPr>
              <w:t>Pharmaceuticals,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vAlign w:val="center"/>
          </w:tcPr>
          <w:p>
            <w:pPr>
              <w:pStyle w:val="TableContents"/>
              <w:bidi w:val="0"/>
              <w:spacing w:before="0" w:after="283"/>
              <w:jc w:val="center"/>
              <w:rPr>
                <w:b/>
              </w:rPr>
            </w:pPr>
            <w:r>
              <w:rPr>
                <w:b/>
              </w:rPr>
              <w:t>Sciences, Inc.</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75" w:type="dxa"/>
            <w:tcBorders/>
            <w:vAlign w:val="center"/>
          </w:tcPr>
          <w:p>
            <w:pPr>
              <w:pStyle w:val="TableContents"/>
              <w:bidi w:val="0"/>
              <w:spacing w:before="0" w:after="283"/>
              <w:jc w:val="center"/>
              <w:rPr/>
            </w:pPr>
            <w:r>
              <w:rPr/>
              <w:t> </w:t>
            </w:r>
            <w:bookmarkStart w:id="960" w:name="xdx_431_c20250101__20251231_eus-gaap--Mi"/>
            <w:bookmarkEnd w:id="960"/>
          </w:p>
        </w:tc>
      </w:tr>
      <w:tr>
        <w:trPr/>
        <w:tc>
          <w:tcPr>
            <w:tcW w:w="4730" w:type="dxa"/>
            <w:tcBorders/>
            <w:shd w:fill="CCEEFF" w:val="clear"/>
            <w:vAlign w:val="center"/>
          </w:tcPr>
          <w:p>
            <w:pPr>
              <w:pStyle w:val="TableContents"/>
              <w:bidi w:val="0"/>
              <w:spacing w:before="0" w:after="283"/>
              <w:jc w:val="left"/>
              <w:rPr/>
            </w:pPr>
            <w:r>
              <w:rPr/>
              <w:t>Balance, January 1, 2025</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bookmarkStart w:id="961" w:name="xdx_409_eus-gaap--NetIncomeLossAttributa"/>
            <w:bookmarkEnd w:id="961"/>
          </w:p>
        </w:tc>
      </w:tr>
      <w:tr>
        <w:trPr/>
        <w:tc>
          <w:tcPr>
            <w:tcW w:w="4730" w:type="dxa"/>
            <w:tcBorders/>
            <w:shd w:fill="FFFFFF" w:val="clear"/>
            <w:vAlign w:val="center"/>
          </w:tcPr>
          <w:p>
            <w:pPr>
              <w:pStyle w:val="TableContents"/>
              <w:bidi w:val="0"/>
              <w:spacing w:before="0" w:after="283"/>
              <w:jc w:val="left"/>
              <w:rPr/>
            </w:pPr>
            <w:r>
              <w:rPr/>
              <w:t>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1"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bookmarkStart w:id="962" w:name="xdx_43B_c20250101__20251231_eus-gaap--Mi"/>
            <w:bookmarkEnd w:id="962"/>
          </w:p>
        </w:tc>
      </w:tr>
      <w:tr>
        <w:trPr/>
        <w:tc>
          <w:tcPr>
            <w:tcW w:w="4730" w:type="dxa"/>
            <w:tcBorders/>
            <w:shd w:fill="CCEEFF" w:val="clear"/>
            <w:vAlign w:val="center"/>
          </w:tcPr>
          <w:p>
            <w:pPr>
              <w:pStyle w:val="TableContents"/>
              <w:bidi w:val="0"/>
              <w:spacing w:before="0" w:after="283"/>
              <w:jc w:val="left"/>
              <w:rPr/>
            </w:pPr>
            <w:r>
              <w:rPr/>
              <w:t>Balance, December 31, 2025</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non-controlling interest for the year ended December 31, 2024 (000’s):</w:t>
      </w:r>
    </w:p>
    <w:p>
      <w:pPr>
        <w:pStyle w:val="TextBody"/>
        <w:bidi w:val="0"/>
        <w:spacing w:before="0" w:after="0"/>
        <w:ind w:left="0" w:right="0" w:hanging="0"/>
        <w:jc w:val="both"/>
        <w:rPr>
          <w:caps w:val="false"/>
          <w:smallCaps w:val="false"/>
        </w:rPr>
      </w:pPr>
      <w:r>
        <w:rPr>
          <w:caps w:val="false"/>
          <w:smallCaps w:val="false"/>
        </w:rPr>
        <w:t> </w:t>
      </w:r>
    </w:p>
    <w:tbl>
      <w:tblPr>
        <w:tblW w:w="9983" w:type="dxa"/>
        <w:jc w:val="left"/>
        <w:tblInd w:w="0" w:type="dxa"/>
        <w:tblLayout w:type="fixed"/>
        <w:tblCellMar>
          <w:top w:w="0" w:type="dxa"/>
          <w:left w:w="0" w:type="dxa"/>
          <w:bottom w:w="0" w:type="dxa"/>
          <w:right w:w="0" w:type="dxa"/>
        </w:tblCellMar>
      </w:tblPr>
      <w:tblGrid>
        <w:gridCol w:w="5300"/>
        <w:gridCol w:w="60"/>
        <w:gridCol w:w="519"/>
        <w:gridCol w:w="1691"/>
        <w:gridCol w:w="95"/>
        <w:gridCol w:w="60"/>
        <w:gridCol w:w="367"/>
        <w:gridCol w:w="1002"/>
        <w:gridCol w:w="60"/>
        <w:gridCol w:w="60"/>
        <w:gridCol w:w="243"/>
        <w:gridCol w:w="451"/>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3" w:name="xdx_4B3_srt--ConsolidatedEntitiesAxis_cu"/>
            <w:bookmarkEnd w:id="963"/>
          </w:p>
        </w:tc>
        <w:tc>
          <w:tcPr>
            <w:tcW w:w="2210" w:type="dxa"/>
            <w:gridSpan w:val="2"/>
            <w:tcBorders/>
            <w:vAlign w:val="center"/>
          </w:tcPr>
          <w:p>
            <w:pPr>
              <w:pStyle w:val="TableContents"/>
              <w:bidi w:val="0"/>
              <w:spacing w:before="0" w:after="283"/>
              <w:jc w:val="center"/>
              <w:rPr>
                <w:b/>
              </w:rPr>
            </w:pPr>
            <w:r>
              <w:rPr>
                <w:b/>
              </w:rPr>
              <w:t>ViralClear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4" w:name="xdx_4B8_srt--ConsolidatedEntitiesAxis_cu"/>
            <w:bookmarkEnd w:id="964"/>
          </w:p>
        </w:tc>
        <w:tc>
          <w:tcPr>
            <w:tcW w:w="1369" w:type="dxa"/>
            <w:gridSpan w:val="2"/>
            <w:tcBorders/>
            <w:vAlign w:val="center"/>
          </w:tcPr>
          <w:p>
            <w:pPr>
              <w:pStyle w:val="TableContents"/>
              <w:bidi w:val="0"/>
              <w:spacing w:before="0" w:after="283"/>
              <w:jc w:val="center"/>
              <w:rPr>
                <w:b/>
              </w:rPr>
            </w:pPr>
            <w:r>
              <w:rPr>
                <w:b/>
              </w:rPr>
              <w:t>BioSig AI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5" w:name="xdx_4BF_zhgXEuRLJKwi"/>
            <w:bookmarkEnd w:id="965"/>
          </w:p>
        </w:tc>
        <w:tc>
          <w:tcPr>
            <w:tcW w:w="6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0" w:type="dxa"/>
            <w:gridSpan w:val="2"/>
            <w:tcBorders/>
            <w:vAlign w:val="center"/>
          </w:tcPr>
          <w:p>
            <w:pPr>
              <w:pStyle w:val="TableContents"/>
              <w:bidi w:val="0"/>
              <w:spacing w:before="0" w:after="283"/>
              <w:jc w:val="center"/>
              <w:rPr>
                <w:b/>
              </w:rPr>
            </w:pPr>
            <w:r>
              <w:rPr>
                <w:b/>
              </w:rPr>
              <w:t>Pharmaceuticals, 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vAlign w:val="center"/>
          </w:tcPr>
          <w:p>
            <w:pPr>
              <w:pStyle w:val="TableContents"/>
              <w:bidi w:val="0"/>
              <w:spacing w:before="0" w:after="283"/>
              <w:jc w:val="center"/>
              <w:rPr>
                <w:b/>
              </w:rPr>
            </w:pPr>
            <w:r>
              <w:rPr>
                <w:b/>
              </w:rPr>
              <w:t>Sciences, Inc.</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(000’s)</w:t>
            </w:r>
          </w:p>
        </w:tc>
        <w:tc>
          <w:tcPr>
            <w:tcW w:w="75" w:type="dxa"/>
            <w:tcBorders/>
            <w:vAlign w:val="center"/>
          </w:tcPr>
          <w:p>
            <w:pPr>
              <w:pStyle w:val="TableContents"/>
              <w:bidi w:val="0"/>
              <w:spacing w:before="0" w:after="283"/>
              <w:jc w:val="center"/>
              <w:rPr/>
            </w:pPr>
            <w:r>
              <w:rPr/>
              <w:t> </w:t>
            </w:r>
            <w:bookmarkStart w:id="966" w:name="xdx_43D_c20240101__20241231_eus-gaap--Mi"/>
            <w:bookmarkEnd w:id="966"/>
          </w:p>
        </w:tc>
      </w:tr>
      <w:tr>
        <w:trPr/>
        <w:tc>
          <w:tcPr>
            <w:tcW w:w="5300" w:type="dxa"/>
            <w:tcBorders/>
            <w:shd w:fill="CCEEFF" w:val="clear"/>
            <w:vAlign w:val="center"/>
          </w:tcPr>
          <w:p>
            <w:pPr>
              <w:pStyle w:val="TableContents"/>
              <w:bidi w:val="0"/>
              <w:spacing w:before="0" w:after="283"/>
              <w:jc w:val="left"/>
              <w:rPr/>
            </w:pPr>
            <w:r>
              <w:rPr/>
              <w:t>Balance, January 1, 2024</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26</w:t>
            </w:r>
          </w:p>
        </w:tc>
        <w:tc>
          <w:tcPr>
            <w:tcW w:w="75" w:type="dxa"/>
            <w:tcBorders/>
            <w:shd w:fill="CCEEFF" w:val="clear"/>
            <w:vAlign w:val="center"/>
          </w:tcPr>
          <w:p>
            <w:pPr>
              <w:pStyle w:val="TableContents"/>
              <w:bidi w:val="0"/>
              <w:spacing w:before="0" w:after="283"/>
              <w:jc w:val="left"/>
              <w:rPr/>
            </w:pPr>
            <w:r>
              <w:rPr/>
              <w:t> </w:t>
            </w:r>
            <w:bookmarkStart w:id="967" w:name="xdx_439_c20240101__20241231_eus-gaap--Mi"/>
            <w:bookmarkEnd w:id="967"/>
          </w:p>
        </w:tc>
      </w:tr>
      <w:tr>
        <w:trPr/>
        <w:tc>
          <w:tcPr>
            <w:tcW w:w="530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26</w:t>
            </w:r>
          </w:p>
        </w:tc>
        <w:tc>
          <w:tcPr>
            <w:tcW w:w="75" w:type="dxa"/>
            <w:tcBorders/>
            <w:shd w:fill="CCEEFF" w:val="clear"/>
            <w:vAlign w:val="center"/>
          </w:tcPr>
          <w:p>
            <w:pPr>
              <w:pStyle w:val="TableContents"/>
              <w:bidi w:val="0"/>
              <w:spacing w:before="0" w:after="283"/>
              <w:jc w:val="left"/>
              <w:rPr/>
            </w:pPr>
            <w:r>
              <w:rPr/>
              <w:t> </w:t>
            </w:r>
            <w:bookmarkStart w:id="968" w:name="xdx_409_eus-gaap--NetIncomeLossAttributa"/>
            <w:bookmarkEnd w:id="968"/>
          </w:p>
        </w:tc>
      </w:tr>
      <w:tr>
        <w:trPr/>
        <w:tc>
          <w:tcPr>
            <w:tcW w:w="5300" w:type="dxa"/>
            <w:tcBorders/>
            <w:shd w:fill="FFFFFF" w:val="clear"/>
            <w:vAlign w:val="center"/>
          </w:tcPr>
          <w:p>
            <w:pPr>
              <w:pStyle w:val="TableContents"/>
              <w:bidi w:val="0"/>
              <w:spacing w:before="0" w:after="283"/>
              <w:jc w:val="left"/>
              <w:rPr/>
            </w:pPr>
            <w:r>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1"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bookmarkStart w:id="969" w:name="xdx_43D_c20240101__20241231_eus-gaap--Mi"/>
            <w:bookmarkEnd w:id="969"/>
          </w:p>
        </w:tc>
      </w:tr>
      <w:tr>
        <w:trPr/>
        <w:tc>
          <w:tcPr>
            <w:tcW w:w="5300" w:type="dxa"/>
            <w:tcBorders/>
            <w:shd w:fill="CCEEFF" w:val="clear"/>
            <w:vAlign w:val="center"/>
          </w:tcPr>
          <w:p>
            <w:pPr>
              <w:pStyle w:val="TableContents"/>
              <w:bidi w:val="0"/>
              <w:spacing w:before="0" w:after="283"/>
              <w:jc w:val="left"/>
              <w:rPr/>
            </w:pPr>
            <w:r>
              <w:rPr/>
              <w:t>Balance, December 31, 2024</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bookmarkStart w:id="970" w:name="xdx_434_c20240101__20241231_eus-gaap--Mi"/>
            <w:bookmarkEnd w:id="970"/>
          </w:p>
        </w:tc>
      </w:tr>
      <w:tr>
        <w:trPr/>
        <w:tc>
          <w:tcPr>
            <w:tcW w:w="530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1"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971" w:name="xdx_8A8_zP8BlSchmNga"/>
      <w:bookmarkEnd w:id="97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2" w:name="xdx_80C_eus-gaap--CommitmentsAndContinge"/>
      <w:bookmarkEnd w:id="972"/>
      <w:r>
        <w:rPr>
          <w:rFonts w:ascii="Times New Roman;Times;Serif" w:hAnsi="Times New Roman;Times;Serif"/>
          <w:b/>
          <w:i w:val="false"/>
          <w:caps w:val="false"/>
          <w:smallCaps w:val="false"/>
          <w:sz w:val="20"/>
        </w:rPr>
        <w:t xml:space="preserve">NOTE 10 — </w:t>
      </w:r>
      <w:bookmarkStart w:id="973" w:name="xdx_825_z1NdX3fx6Oh1"/>
      <w:bookmarkEnd w:id="97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Tokenized Yield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entered into a Tokenized Yield Partnership Agreement (the “Token Agreement”) with Monetary Metals &amp; Co. (“MM”), a Delaware corporation. The Token Agreement establishes an exclusive, multi-year strategic partnership to design, launch, and distribute blockchain-based financial products that tokenize the yield generated from MM’s precious-metal lease and bond programs. The Token Agreement commenced on September 8, 2025 and continues for an initial term of three years, subject to automatic one-year renewal periods unless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no activity under this arrangement, and no amounts have been recognized in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and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at least three years, MM agreed not to engage with any other party to tokenize the yield or other financial attributes of its precious-metal lease or bond products, and the Company agreed not to partner with any third party to tokenize yield derived from precious-metal leases, in each case subject to specified volume-based performance conditions. To maintain exclusivity, the Company must supply at least 10% of the total leased ounces presented by MM each quarter that meet defined criteria, including minimum insurance standards, a net yield of at least 3% per annum after origination fees, and compliance with restrictions on counterparties and jurisdictions. Failure to meet these thresholds, after a 90-day cure period, results in loss of exclusivity but does not obligate the Company to commit capital or continue participation.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will provide the Company with a discounted fee and quarterly cash rebate on Company gold purchases based on a tiered schedule ranging from </w:t>
      </w:r>
      <w:bookmarkStart w:id="974" w:name="xdx_90B_ecustom--DiscountedFeePercentage"/>
      <w:bookmarkEnd w:id="974"/>
      <w:r>
        <w:rPr>
          <w:rFonts w:ascii="Times New Roman;Times;Serif" w:hAnsi="Times New Roman;Times;Serif"/>
          <w:b w:val="false"/>
          <w:i w:val="false"/>
          <w:caps w:val="false"/>
          <w:smallCaps w:val="false"/>
          <w:sz w:val="20"/>
        </w:rPr>
        <w:t xml:space="preserve">0.75% to </w:t>
      </w:r>
      <w:bookmarkStart w:id="975" w:name="xdx_90A_ecustom--DiscountedFeePercentage"/>
      <w:bookmarkEnd w:id="975"/>
      <w:r>
        <w:rPr>
          <w:rFonts w:ascii="Times New Roman;Times;Serif" w:hAnsi="Times New Roman;Times;Serif"/>
          <w:b w:val="false"/>
          <w:i w:val="false"/>
          <w:caps w:val="false"/>
          <w:smallCaps w:val="false"/>
          <w:sz w:val="20"/>
        </w:rPr>
        <w:t xml:space="preserve">0.20% of aggregate quarterly purchase volume. MM will also pay the Company a quarterly revenue share on Company-supplied gold deployed in qualifying leases, ranging from </w:t>
      </w:r>
      <w:bookmarkStart w:id="976" w:name="xdx_90F_ecustom--RevenueSharePercentage_"/>
      <w:bookmarkEnd w:id="976"/>
      <w:r>
        <w:rPr>
          <w:rFonts w:ascii="Times New Roman;Times;Serif" w:hAnsi="Times New Roman;Times;Serif"/>
          <w:b w:val="false"/>
          <w:i w:val="false"/>
          <w:caps w:val="false"/>
          <w:smallCaps w:val="false"/>
          <w:sz w:val="20"/>
        </w:rPr>
        <w:t xml:space="preserve">0.35% to </w:t>
      </w:r>
      <w:bookmarkStart w:id="977" w:name="xdx_907_ecustom--RevenueSharePercentage_"/>
      <w:bookmarkEnd w:id="977"/>
      <w:r>
        <w:rPr>
          <w:rFonts w:ascii="Times New Roman;Times;Serif" w:hAnsi="Times New Roman;Times;Serif"/>
          <w:b w:val="false"/>
          <w:i w:val="false"/>
          <w:caps w:val="false"/>
          <w:smallCaps w:val="false"/>
          <w:sz w:val="20"/>
        </w:rPr>
        <w:t>0.50%, depending on total kilograms leased. All intellectual property arising from the design and development of tokenized yield products will be owned exclusively by the Company, while MM retains ownership of intellectual property related to its lease and bond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Token Agreement for convenience on six months’ notice or for customary breach and insolvency events. Certain exclusivity obligations survive for a minimum of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 former advisor filed a Notice of Civil Claim in the Supreme Court of British Columbia against the Company, its wholly owned subsidiary Streamex Exchange, and certain current officers and directors. The claim alleges, among other things, breach of contract, unjust enrichment, and civil conspiracy in connection with alleged agreements relating to equity interests in Streamex Exchange prior to the Company’s acquisition of that entity. The plaintiff seeks, among other relief, specific performance, equitable compensation, and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disputes the claims and intends to defend the matter vigorously. As of December 31, 2025, no liability has been recorded in the consolidated financial statements related to this matter, as management, after consultation with legal counsel, believes that a loss is not probable. The Company is unable to reasonably estimate the possible loss or range of loss, if any, associated with this matter at this time. The matter is in a preliminary stage and, as a result, the Company is unable to reasonably estimate the possible loss or range of loss, if any, associated with this matter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8" w:name="xdx_805_eus-gaap--BusinessCombinationDis"/>
      <w:bookmarkEnd w:id="978"/>
      <w:r>
        <w:rPr>
          <w:rFonts w:ascii="Times New Roman;Times;Serif" w:hAnsi="Times New Roman;Times;Serif"/>
          <w:b/>
          <w:i w:val="false"/>
          <w:caps w:val="false"/>
          <w:smallCaps w:val="false"/>
          <w:sz w:val="20"/>
        </w:rPr>
        <w:t xml:space="preserve">NOTE 11 – </w:t>
      </w:r>
      <w:bookmarkStart w:id="979" w:name="xdx_82C_zSUbN2JkoHFj"/>
      <w:bookmarkEnd w:id="979"/>
      <w:r>
        <w:rPr>
          <w:rFonts w:ascii="Times New Roman;Times;Serif" w:hAnsi="Times New Roman;Times;Serif"/>
          <w:b/>
          <w:i w:val="false"/>
          <w:caps w:val="false"/>
          <w:smallCaps w:val="false"/>
          <w:sz w:val="20"/>
        </w:rPr>
        <w:t>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Exchange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980" w:name="xdx_909_eus-gaap--BusinessAcquisitionDat"/>
      <w:bookmarkEnd w:id="980"/>
      <w:r>
        <w:rPr>
          <w:rFonts w:ascii="Times New Roman;Times;Serif" w:hAnsi="Times New Roman;Times;Serif"/>
          <w:b w:val="false"/>
          <w:i w:val="false"/>
          <w:caps w:val="false"/>
          <w:smallCaps w:val="false"/>
          <w:sz w:val="20"/>
        </w:rPr>
        <w:t>May 28, 2025, the Company completed the acquisition of Streamex Exchange, a software development company based in Vancouver, British Columbia, specializing in digital tools for commodity trading and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effected pursuant to a Share Purchase Agreement dated May 23, 2025, as amended on May 27, 2025 (collectively, the “Agreement”), by and among the Company, its wholly-owned subsidiaries ExchangeCo and Callco, the Stream Exchange Shareholders, and 1540873 B.C. Ltd., as trustee under the Exchange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Agreement, ExchangeCo acquired all of the issued and outstanding shares of Streamex Exchange (the “Purchased Shares”) in exchange for </w:t>
      </w:r>
      <w:bookmarkStart w:id="981" w:name="xdx_90D_eus-gaap--SaleOfStockNumberOfSha"/>
      <w:bookmarkEnd w:id="981"/>
      <w:r>
        <w:rPr>
          <w:rFonts w:ascii="Times New Roman;Times;Serif" w:hAnsi="Times New Roman;Times;Serif"/>
          <w:b w:val="false"/>
          <w:i w:val="false"/>
          <w:caps w:val="false"/>
          <w:smallCaps w:val="false"/>
          <w:sz w:val="20"/>
        </w:rPr>
        <w:t xml:space="preserve">109,070,039 Exchangeable Shares of ExchangeCo, issued at a ratio of </w:t>
      </w:r>
      <w:bookmarkStart w:id="982" w:name="xdx_901_eus-gaap--SaleOfStockPricePerSha"/>
      <w:bookmarkEnd w:id="982"/>
      <w:r>
        <w:rPr>
          <w:rFonts w:ascii="Times New Roman;Times;Serif" w:hAnsi="Times New Roman;Times;Serif"/>
          <w:b w:val="false"/>
          <w:i w:val="false"/>
          <w:caps w:val="false"/>
          <w:smallCaps w:val="false"/>
          <w:sz w:val="20"/>
        </w:rPr>
        <w:t>2.046862 Exchangeable Shares per Purchased Share. The Exchangeable Shares are exchangeable on a one-for-one basis for shares of the Company’s common stock, subject to certain adjustments and conditions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Acquisition is to enhance shareholder value by combining with a privately held operating company and positioning the combined entity for future growth with expansion into digital commodity trading and blockchain-based financial technologies. The acquisition was undertaken to expand the Company’s technology platform into digital commodity trading and blockchain-based financial infrastructure and to obtain the assembled workforce, intellectual property, and regulatory capabilities of Streamex Exchange.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evaluated the accounting under ASC 805, Business Combinations, and ASC 810, Consolidation. The Company concluded the acquired set met the definition of a business. In making this determination, the Company considered the concentration test in ASC 805 and determined that substantially all of the fair value of the gross assets acquired was not concentrated in a single identifiable asset or group of similar identifiable assets. The Company also evaluated whether the acquiree is a variable interest entity (“VIE”) and concluded Streamex is a VIE because, among other factors, it lacked sufficient equity at risk to finance its activities without additional subordinated financial support and the equity holders, as a group, did not have substantive power to direct the activities that most significantly impact economic performance at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it is the primary beneficiary because it has both (i) the power to direct the activities that most significantly impact Streamex’s economic performance through governance rights in place at closing and (ii) the obligation to absorb losses or the right to receive benefits that could potentially be significant. Accordingly, the transaction is accounted for as a business combination with the Company as the accounting acquirer, and Streamex has been consolidated in the Company’s financial statements from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Approval and Contingent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Exchangeable Shares were not exchangeable into more than 19.99% of the Company’s outstanding common stock on a pre-transaction basis, in accordance with Nasdaq listing rules. Following the closing, the Company intended to seek stockholder approval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91"/>
        <w:gridCol w:w="9879"/>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issuance of our shares of common stock exchangeable for Exchangeable Shares and one share of Special Voting Preferred Stock in connection with the Agreement.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issuance of shares of our common stock underlying the Convertible Debentures to Yorkville.</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 the increase in the total number of shares of our common stock authorized for issuance under our 2023 Long-Term Incentive Plan by </w:t>
            </w:r>
            <w:bookmarkStart w:id="983" w:name="xdx_900_eus-gaap--CommonStockSharesAutho"/>
            <w:bookmarkEnd w:id="983"/>
            <w:r>
              <w:rPr>
                <w:rFonts w:ascii="Times New Roman;Times;Serif" w:hAnsi="Times New Roman;Times;Serif"/>
                <w:b w:val="false"/>
                <w:i w:val="false"/>
                <w:caps w:val="false"/>
                <w:smallCaps w:val="false"/>
                <w:sz w:val="20"/>
              </w:rPr>
              <w:t xml:space="preserve">10,359,211 shares to a total of </w:t>
            </w:r>
            <w:bookmarkStart w:id="984" w:name="xdx_90C_eus-gaap--CommonStockSharesAutho"/>
            <w:bookmarkEnd w:id="984"/>
            <w:r>
              <w:rPr>
                <w:rFonts w:ascii="Times New Roman;Times;Serif" w:hAnsi="Times New Roman;Times;Serif"/>
                <w:b w:val="false"/>
                <w:i w:val="false"/>
                <w:caps w:val="false"/>
                <w:smallCaps w:val="false"/>
                <w:sz w:val="20"/>
              </w:rPr>
              <w:t>14,735,806 shares.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potential issuance of 19.99% or more of our issued and outstanding common stock pursuant to the Standby Equity Purchase Agreement (“SEPA”) with Yorkville.</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 an amendment to our Amended and Restated Certificate of Incorporation to increase the number of authorized shares of common stock from </w:t>
            </w:r>
            <w:bookmarkStart w:id="985" w:name="xdx_902_eus-gaap--CommonStockSharesAutho"/>
            <w:bookmarkEnd w:id="985"/>
            <w:r>
              <w:rPr>
                <w:rFonts w:ascii="Times New Roman;Times;Serif" w:hAnsi="Times New Roman;Times;Serif"/>
                <w:b w:val="false"/>
                <w:i w:val="false"/>
                <w:caps w:val="false"/>
                <w:smallCaps w:val="false"/>
                <w:sz w:val="20"/>
              </w:rPr>
              <w:t xml:space="preserve">200,000,000 to </w:t>
            </w:r>
            <w:bookmarkStart w:id="986" w:name="xdx_90D_eus-gaap--CommonStockSharesAutho"/>
            <w:bookmarkEnd w:id="986"/>
            <w:r>
              <w:rPr>
                <w:rFonts w:ascii="Times New Roman;Times;Serif" w:hAnsi="Times New Roman;Times;Serif"/>
                <w:b w:val="false"/>
                <w:i w:val="false"/>
                <w:caps w:val="false"/>
                <w:smallCaps w:val="false"/>
                <w:sz w:val="20"/>
              </w:rPr>
              <w:t>500,000,000.</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of an amendment to our Amended and Restated Certificate of Incorporation to classify our board of directors into three staggered classes.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of stockholders held on September 5, 2025, Proposals B—F were approved. Proposal A was adjourned to November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stockholder approval of Proposal A, and subject to the terms of the Exchange Rights Agreement, the holders of Exchangeable Shares would be entitled to exchange such shares for an aggregate of </w:t>
      </w:r>
      <w:bookmarkStart w:id="987" w:name="xdx_90D_eus-gaap--SaleOfStockNumberOfSha"/>
      <w:bookmarkEnd w:id="987"/>
      <w:r>
        <w:rPr>
          <w:rFonts w:ascii="Times New Roman;Times;Serif" w:hAnsi="Times New Roman;Times;Serif"/>
          <w:b w:val="false"/>
          <w:i w:val="false"/>
          <w:caps w:val="false"/>
          <w:smallCaps w:val="false"/>
          <w:sz w:val="20"/>
        </w:rPr>
        <w:t>109,070,039 shares of the Company’s common stock representing up to 75% of the Company’s fully diluted common stock as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fair value of the consideration transferred was $</w:t>
      </w:r>
      <w:bookmarkStart w:id="988" w:name="xdx_90E_eus-gaap--BusinessCombinationCon"/>
      <w:bookmarkEnd w:id="988"/>
      <w:r>
        <w:rPr>
          <w:rFonts w:ascii="Times New Roman;Times;Serif" w:hAnsi="Times New Roman;Times;Serif"/>
          <w:b w:val="false"/>
          <w:i w:val="false"/>
          <w:caps w:val="false"/>
          <w:smallCaps w:val="false"/>
          <w:sz w:val="20"/>
        </w:rPr>
        <w:t>105.5 million, consisting entirely of Exchangeable Shares issued by ExchangeCo. Due to the lack of an active market for the Exchangeable Shares and the contingent nature of their conversion, a fundamentals-based valuation approach was used to estimate the fair value of the consideration. The contingent consideration related to the potential adjustment of the Exchange Ratio from 1.0 to 1.25—triggered if shareholder approval is not obtained within six months following the closing date—is not included in the preliminary purchase consideration as of May 28, 2025. See Note 7, Stockholder Equity and Note 12, Fair Value Measurements. For an overview of the Company’s derivative financial instruments and related disclosures required by ASC 815, see Note 17, Derivative Financial Instruments and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received shareholder approval for the issuance of our shares of common stock exchangeable for Exchangeable Shares and one share of Special Voting Preferred Stock in connection with the Agreement. As a result, the conversion cap was removed, and Streamex Exchange shareholders may now convert all their Exchangeable Shares into the Company’s common stock. Concurrently, the derivative liability associated with the Exchangeable Shares was reclassified to permanent equity. As a result of the reclassification, the Exchangeable Shares are classified as permanent equity as of December 31, 2025 and are presented within stockholders’ equity in the Consolidated Balance Sheet. No derivative liability related to the Exchangeable Shares remained outstanding at December 31, 2025. Although the Exchangeable Shares were reclassified to permanent equity upon stockholder approval on November 4, 2025, the consideration transferred for purposes of the acquisition date purchase price allocation reflects the fair value of the Exchangeable Shares as of May 28,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Company incurred total acquisition-related costs of $</w:t>
      </w:r>
      <w:bookmarkStart w:id="989" w:name="xdx_90B_eus-gaap--BusinessCombinationAcq"/>
      <w:bookmarkEnd w:id="989"/>
      <w:r>
        <w:rPr>
          <w:rFonts w:ascii="Times New Roman;Times;Serif" w:hAnsi="Times New Roman;Times;Serif"/>
          <w:b w:val="false"/>
          <w:i w:val="false"/>
          <w:caps w:val="false"/>
          <w:smallCaps w:val="false"/>
          <w:sz w:val="20"/>
        </w:rPr>
        <w:t xml:space="preserve">5.9 million during the year ended December 31, 2025. These costs primarily consisted of legal, accounting, and consulting fees directly attributable to the transaction. Included in this amount was the issuance of </w:t>
      </w:r>
      <w:bookmarkStart w:id="990" w:name="xdx_90A_eus-gaap--StockIssuedDuringPerio"/>
      <w:bookmarkEnd w:id="990"/>
      <w:r>
        <w:rPr>
          <w:rFonts w:ascii="Times New Roman;Times;Serif" w:hAnsi="Times New Roman;Times;Serif"/>
          <w:b w:val="false"/>
          <w:i w:val="false"/>
          <w:caps w:val="false"/>
          <w:smallCaps w:val="false"/>
          <w:sz w:val="20"/>
        </w:rPr>
        <w:t>200,000 shares of the Company’s common stock to a third-party consultant, valued at $</w:t>
      </w:r>
      <w:bookmarkStart w:id="991" w:name="xdx_90B_eus-gaap--StockIssuedDuringPerio"/>
      <w:bookmarkEnd w:id="991"/>
      <w:r>
        <w:rPr>
          <w:rFonts w:ascii="Times New Roman;Times;Serif" w:hAnsi="Times New Roman;Times;Serif"/>
          <w:b w:val="false"/>
          <w:i w:val="false"/>
          <w:caps w:val="false"/>
          <w:smallCaps w:val="false"/>
          <w:sz w:val="20"/>
        </w:rPr>
        <w:t xml:space="preserve">1.0 million based on the grant-date fair value and the expected issuance of </w:t>
      </w:r>
      <w:bookmarkStart w:id="992" w:name="xdx_90C_eus-gaap--StockIssuedDuringPerio"/>
      <w:bookmarkEnd w:id="992"/>
      <w:r>
        <w:rPr>
          <w:rFonts w:ascii="Times New Roman;Times;Serif" w:hAnsi="Times New Roman;Times;Serif"/>
          <w:b w:val="false"/>
          <w:i w:val="false"/>
          <w:caps w:val="false"/>
          <w:smallCaps w:val="false"/>
          <w:sz w:val="20"/>
        </w:rPr>
        <w:t>824,052 shares of the Company’s common stock to third party consultants in connection with a finders fee, valued at $</w:t>
      </w:r>
      <w:bookmarkStart w:id="993" w:name="xdx_906_eus-gaap--StockIssuedDuringPerio"/>
      <w:bookmarkEnd w:id="993"/>
      <w:r>
        <w:rPr>
          <w:rFonts w:ascii="Times New Roman;Times;Serif" w:hAnsi="Times New Roman;Times;Serif"/>
          <w:b w:val="false"/>
          <w:i w:val="false"/>
          <w:caps w:val="false"/>
          <w:smallCaps w:val="false"/>
          <w:sz w:val="20"/>
        </w:rPr>
        <w:t>4.8 million. These costs were expensed as incurred and are reflected in general and administrative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 The purchase price allocation is preliminary primarily because the Company has not yet finalized the valuation of certain identifiable intangible assets and the related deferred income tax effects, which could result in changes to the amounts assigned to intangible assets, deferred tax liabilities, and goodwill during the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4" w:name="xdx_898_eus-gaap--ScheduleOfRecognizedId"/>
      <w:bookmarkEnd w:id="994"/>
      <w:r>
        <w:rPr>
          <w:rFonts w:ascii="Times New Roman;Times;Serif" w:hAnsi="Times New Roman;Times;Serif"/>
          <w:b w:val="false"/>
          <w:i w:val="false"/>
          <w:caps w:val="false"/>
          <w:smallCaps w:val="false"/>
          <w:sz w:val="20"/>
        </w:rPr>
        <w:t>The Company recorded all tangible and identifiable intangible assets acquired and liabilities assumed at their preliminary estimated fair values as of the acquisition date. The preliminary allocation is as follows:</w:t>
      </w:r>
    </w:p>
    <w:p>
      <w:pPr>
        <w:pStyle w:val="TextBody"/>
        <w:bidi w:val="0"/>
        <w:spacing w:before="0" w:after="0"/>
        <w:ind w:left="0" w:right="0" w:hanging="0"/>
        <w:jc w:val="both"/>
        <w:rPr>
          <w:caps w:val="false"/>
          <w:smallCaps w:val="false"/>
        </w:rPr>
      </w:pPr>
      <w:r>
        <w:rPr>
          <w:caps w:val="false"/>
          <w:smallCaps w:val="false"/>
        </w:rPr>
        <w:t> </w:t>
      </w:r>
      <w:bookmarkStart w:id="995" w:name="xdx_8B3_zglfEXJxbH7e"/>
      <w:bookmarkEnd w:id="995"/>
      <w:r>
        <w:rPr>
          <w:rFonts w:ascii="Times New Roman;Times;Serif" w:hAnsi="Times New Roman;Times;Serif"/>
          <w:b w:val="false"/>
          <w:i w:val="false"/>
          <w:caps w:val="false"/>
          <w:smallCaps w:val="false"/>
          <w:sz w:val="20"/>
        </w:rPr>
        <w:t>SCHEDULE OF TANGIBLE AND IDENTIFIABLE INTANGIBLE ASSETS ACQUIRED AND LIABILITIES ASSUMED</w:t>
      </w:r>
    </w:p>
    <w:tbl>
      <w:tblPr>
        <w:tblW w:w="8765" w:type="dxa"/>
        <w:jc w:val="left"/>
        <w:tblInd w:w="0" w:type="dxa"/>
        <w:tblLayout w:type="fixed"/>
        <w:tblCellMar>
          <w:top w:w="0" w:type="dxa"/>
          <w:left w:w="0" w:type="dxa"/>
          <w:bottom w:w="28" w:type="dxa"/>
          <w:right w:w="0" w:type="dxa"/>
        </w:tblCellMar>
      </w:tblPr>
      <w:tblGrid>
        <w:gridCol w:w="7655"/>
        <w:gridCol w:w="60"/>
        <w:gridCol w:w="140"/>
        <w:gridCol w:w="800"/>
        <w:gridCol w:w="110"/>
      </w:tblGrid>
      <w:tr>
        <w:trPr/>
        <w:tc>
          <w:tcPr>
            <w:tcW w:w="7655" w:type="dxa"/>
            <w:tcBorders>
              <w:bottom w:val="single" w:sz="8" w:space="0" w:color="000000"/>
            </w:tcBorders>
            <w:vAlign w:val="center"/>
          </w:tcPr>
          <w:p>
            <w:pPr>
              <w:pStyle w:val="TableContents"/>
              <w:bidi w:val="0"/>
              <w:spacing w:before="0" w:after="283"/>
              <w:jc w:val="center"/>
              <w:rPr>
                <w:b/>
              </w:rPr>
            </w:pPr>
            <w:r>
              <w:rPr>
                <w:b/>
              </w:rPr>
              <w:t>Preliminary Amount Recognized as of the Acquisition Date (In Thousands)</w:t>
            </w:r>
          </w:p>
        </w:tc>
        <w:tc>
          <w:tcPr>
            <w:tcW w:w="60" w:type="dxa"/>
            <w:tcBorders/>
            <w:tcMar>
              <w:bottom w:w="0" w:type="dxa"/>
            </w:tcMar>
            <w:vAlign w:val="center"/>
          </w:tcPr>
          <w:p>
            <w:pPr>
              <w:pStyle w:val="TableContents"/>
              <w:bidi w:val="0"/>
              <w:spacing w:before="0" w:after="283"/>
              <w:jc w:val="left"/>
              <w:rPr/>
            </w:pPr>
            <w:r>
              <w:rPr/>
              <w:t> </w:t>
            </w:r>
            <w:bookmarkStart w:id="996" w:name="xdx_490_20250528_zhz2sWK7lEDk"/>
            <w:bookmarkEnd w:id="996"/>
          </w:p>
        </w:tc>
        <w:tc>
          <w:tcPr>
            <w:tcW w:w="94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655" w:type="dxa"/>
            <w:tcBorders/>
            <w:shd w:fill="CCEEFF" w:val="clear"/>
            <w:tcMar>
              <w:bottom w:w="0" w:type="dxa"/>
            </w:tcMar>
            <w:vAlign w:val="center"/>
          </w:tcPr>
          <w:p>
            <w:pPr>
              <w:pStyle w:val="TableContents"/>
              <w:bidi w:val="0"/>
              <w:spacing w:before="0" w:after="283"/>
              <w:jc w:val="both"/>
              <w:rPr>
                <w:b/>
              </w:rPr>
            </w:pPr>
            <w:r>
              <w:rPr>
                <w:b/>
              </w:rPr>
              <w:t>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997" w:name="xdx_40D_eus-gaap--BusinessCombinationRec"/>
            <w:bookmarkEnd w:id="997"/>
          </w:p>
        </w:tc>
      </w:tr>
      <w:tr>
        <w:trPr/>
        <w:tc>
          <w:tcPr>
            <w:tcW w:w="7655" w:type="dxa"/>
            <w:tcBorders/>
            <w:shd w:fill="FFFFFF" w:val="clear"/>
            <w:tcMar>
              <w:bottom w:w="0" w:type="dxa"/>
            </w:tcMar>
            <w:vAlign w:val="center"/>
          </w:tcPr>
          <w:p>
            <w:pPr>
              <w:pStyle w:val="TableContents"/>
              <w:bidi w:val="0"/>
              <w:spacing w:before="0" w:after="283"/>
              <w:jc w:val="both"/>
              <w:rPr/>
            </w:pPr>
            <w:r>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366</w:t>
            </w:r>
          </w:p>
        </w:tc>
        <w:tc>
          <w:tcPr>
            <w:tcW w:w="110" w:type="dxa"/>
            <w:tcBorders/>
            <w:shd w:fill="FFFFFF" w:val="clear"/>
            <w:tcMar>
              <w:bottom w:w="0" w:type="dxa"/>
            </w:tcMar>
            <w:vAlign w:val="center"/>
          </w:tcPr>
          <w:p>
            <w:pPr>
              <w:pStyle w:val="TableContents"/>
              <w:bidi w:val="0"/>
              <w:spacing w:before="0" w:after="283"/>
              <w:jc w:val="left"/>
              <w:rPr/>
            </w:pPr>
            <w:r>
              <w:rPr/>
              <w:t> </w:t>
            </w:r>
            <w:bookmarkStart w:id="998" w:name="xdx_405_ecustom--BusinessCombinationReco"/>
            <w:bookmarkEnd w:id="998"/>
          </w:p>
        </w:tc>
      </w:tr>
      <w:tr>
        <w:trPr/>
        <w:tc>
          <w:tcPr>
            <w:tcW w:w="7655" w:type="dxa"/>
            <w:tcBorders/>
            <w:shd w:fill="CCEEFF" w:val="clear"/>
            <w:tcMar>
              <w:bottom w:w="0" w:type="dxa"/>
            </w:tcMar>
            <w:vAlign w:val="center"/>
          </w:tcPr>
          <w:p>
            <w:pPr>
              <w:pStyle w:val="TableContents"/>
              <w:bidi w:val="0"/>
              <w:spacing w:before="0" w:after="283"/>
              <w:jc w:val="both"/>
              <w:rPr/>
            </w:pPr>
            <w:r>
              <w:rPr/>
              <w:t>Due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w:t>
            </w:r>
          </w:p>
        </w:tc>
        <w:tc>
          <w:tcPr>
            <w:tcW w:w="110" w:type="dxa"/>
            <w:tcBorders/>
            <w:shd w:fill="CCEEFF" w:val="clear"/>
            <w:tcMar>
              <w:bottom w:w="0" w:type="dxa"/>
            </w:tcMar>
            <w:vAlign w:val="center"/>
          </w:tcPr>
          <w:p>
            <w:pPr>
              <w:pStyle w:val="TableContents"/>
              <w:bidi w:val="0"/>
              <w:spacing w:before="0" w:after="283"/>
              <w:jc w:val="left"/>
              <w:rPr/>
            </w:pPr>
            <w:r>
              <w:rPr/>
              <w:t> </w:t>
            </w:r>
            <w:bookmarkStart w:id="999" w:name="xdx_40B_ecustom--BusinessCombinationReco"/>
            <w:bookmarkEnd w:id="999"/>
          </w:p>
        </w:tc>
      </w:tr>
      <w:tr>
        <w:trPr/>
        <w:tc>
          <w:tcPr>
            <w:tcW w:w="7655" w:type="dxa"/>
            <w:tcBorders/>
            <w:shd w:fill="FFFFFF" w:val="clear"/>
            <w:tcMar>
              <w:bottom w:w="0" w:type="dxa"/>
            </w:tcMar>
            <w:vAlign w:val="center"/>
          </w:tcPr>
          <w:p>
            <w:pPr>
              <w:pStyle w:val="TableContents"/>
              <w:bidi w:val="0"/>
              <w:spacing w:before="0" w:after="283"/>
              <w:jc w:val="both"/>
              <w:rPr/>
            </w:pPr>
            <w:r>
              <w:rPr/>
              <w:t>Sales tax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w:t>
            </w:r>
          </w:p>
        </w:tc>
        <w:tc>
          <w:tcPr>
            <w:tcW w:w="110" w:type="dxa"/>
            <w:tcBorders/>
            <w:shd w:fill="FFFFFF" w:val="clear"/>
            <w:tcMar>
              <w:bottom w:w="0" w:type="dxa"/>
            </w:tcMar>
            <w:vAlign w:val="center"/>
          </w:tcPr>
          <w:p>
            <w:pPr>
              <w:pStyle w:val="TableContents"/>
              <w:bidi w:val="0"/>
              <w:spacing w:before="0" w:after="283"/>
              <w:jc w:val="left"/>
              <w:rPr/>
            </w:pPr>
            <w:r>
              <w:rPr/>
              <w:t> </w:t>
            </w:r>
            <w:bookmarkStart w:id="1000" w:name="xdx_408_eus-gaap--BusinessCombinationRec"/>
            <w:bookmarkEnd w:id="1000"/>
          </w:p>
        </w:tc>
      </w:tr>
      <w:tr>
        <w:trPr/>
        <w:tc>
          <w:tcPr>
            <w:tcW w:w="7655" w:type="dxa"/>
            <w:tcBorders/>
            <w:shd w:fill="CCEEFF" w:val="clear"/>
            <w:tcMar>
              <w:bottom w:w="0" w:type="dxa"/>
            </w:tcMar>
            <w:vAlign w:val="center"/>
          </w:tcPr>
          <w:p>
            <w:pPr>
              <w:pStyle w:val="TableContents"/>
              <w:bidi w:val="0"/>
              <w:spacing w:before="0" w:after="283"/>
              <w:jc w:val="both"/>
              <w:rPr/>
            </w:pPr>
            <w:r>
              <w:rPr/>
              <w:t>Prepaid expenses and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w:t>
            </w:r>
          </w:p>
        </w:tc>
        <w:tc>
          <w:tcPr>
            <w:tcW w:w="110" w:type="dxa"/>
            <w:tcBorders/>
            <w:shd w:fill="CCEEFF" w:val="clear"/>
            <w:tcMar>
              <w:bottom w:w="0" w:type="dxa"/>
            </w:tcMar>
            <w:vAlign w:val="center"/>
          </w:tcPr>
          <w:p>
            <w:pPr>
              <w:pStyle w:val="TableContents"/>
              <w:bidi w:val="0"/>
              <w:spacing w:before="0" w:after="283"/>
              <w:jc w:val="left"/>
              <w:rPr/>
            </w:pPr>
            <w:r>
              <w:rPr/>
              <w:t> </w:t>
            </w:r>
            <w:bookmarkStart w:id="1001" w:name="xdx_40A_ecustom--BusinessCombinationReco"/>
            <w:bookmarkEnd w:id="1001"/>
          </w:p>
        </w:tc>
      </w:tr>
      <w:tr>
        <w:trPr/>
        <w:tc>
          <w:tcPr>
            <w:tcW w:w="7655" w:type="dxa"/>
            <w:tcBorders/>
            <w:shd w:fill="FFFFFF" w:val="clear"/>
            <w:tcMar>
              <w:bottom w:w="0" w:type="dxa"/>
            </w:tcMar>
            <w:vAlign w:val="center"/>
          </w:tcPr>
          <w:p>
            <w:pPr>
              <w:pStyle w:val="TableContents"/>
              <w:bidi w:val="0"/>
              <w:spacing w:before="0" w:after="283"/>
              <w:jc w:val="both"/>
              <w:rPr/>
            </w:pPr>
            <w:r>
              <w:rPr/>
              <w:t>Trade 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5,100</w:t>
            </w:r>
          </w:p>
        </w:tc>
        <w:tc>
          <w:tcPr>
            <w:tcW w:w="110" w:type="dxa"/>
            <w:tcBorders/>
            <w:shd w:fill="FFFFFF" w:val="clear"/>
            <w:tcMar>
              <w:bottom w:w="0" w:type="dxa"/>
            </w:tcMar>
            <w:vAlign w:val="center"/>
          </w:tcPr>
          <w:p>
            <w:pPr>
              <w:pStyle w:val="TableContents"/>
              <w:bidi w:val="0"/>
              <w:spacing w:before="0" w:after="283"/>
              <w:jc w:val="left"/>
              <w:rPr/>
            </w:pPr>
            <w:r>
              <w:rPr/>
              <w:t> </w:t>
            </w:r>
            <w:bookmarkStart w:id="1002" w:name="xdx_407_ecustom--BusinessCombinationReco"/>
            <w:bookmarkEnd w:id="1002"/>
          </w:p>
        </w:tc>
      </w:tr>
      <w:tr>
        <w:trPr/>
        <w:tc>
          <w:tcPr>
            <w:tcW w:w="7655"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40,000</w:t>
            </w:r>
          </w:p>
        </w:tc>
        <w:tc>
          <w:tcPr>
            <w:tcW w:w="110" w:type="dxa"/>
            <w:tcBorders/>
            <w:shd w:fill="CCEEFF" w:val="clear"/>
            <w:tcMar>
              <w:bottom w:w="0" w:type="dxa"/>
            </w:tcMar>
            <w:vAlign w:val="center"/>
          </w:tcPr>
          <w:p>
            <w:pPr>
              <w:pStyle w:val="TableContents"/>
              <w:bidi w:val="0"/>
              <w:spacing w:before="0" w:after="283"/>
              <w:jc w:val="left"/>
              <w:rPr/>
            </w:pPr>
            <w:r>
              <w:rPr/>
              <w:t> </w:t>
            </w:r>
            <w:bookmarkStart w:id="1003" w:name="xdx_403_ecustom--BusinessCombinationReco"/>
            <w:bookmarkEnd w:id="1003"/>
          </w:p>
        </w:tc>
      </w:tr>
      <w:tr>
        <w:trPr/>
        <w:tc>
          <w:tcPr>
            <w:tcW w:w="7655" w:type="dxa"/>
            <w:tcBorders/>
            <w:shd w:fill="FFFFFF" w:val="clear"/>
            <w:tcMar>
              <w:bottom w:w="0" w:type="dxa"/>
            </w:tcMar>
            <w:vAlign w:val="center"/>
          </w:tcPr>
          <w:p>
            <w:pPr>
              <w:pStyle w:val="TableContents"/>
              <w:bidi w:val="0"/>
              <w:spacing w:before="0" w:after="283"/>
              <w:jc w:val="both"/>
              <w:rPr/>
            </w:pPr>
            <w:r>
              <w:rPr/>
              <w:t>Legal and compliance framework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2,400</w:t>
            </w:r>
          </w:p>
        </w:tc>
        <w:tc>
          <w:tcPr>
            <w:tcW w:w="110" w:type="dxa"/>
            <w:tcBorders/>
            <w:shd w:fill="FFFFFF" w:val="clear"/>
            <w:tcMar>
              <w:bottom w:w="0" w:type="dxa"/>
            </w:tcMar>
            <w:vAlign w:val="center"/>
          </w:tcPr>
          <w:p>
            <w:pPr>
              <w:pStyle w:val="TableContents"/>
              <w:bidi w:val="0"/>
              <w:spacing w:before="0" w:after="283"/>
              <w:jc w:val="left"/>
              <w:rPr/>
            </w:pPr>
            <w:r>
              <w:rPr/>
              <w:t> </w:t>
            </w:r>
            <w:bookmarkStart w:id="1004" w:name="xdx_400_ecustom--BusinessCombinationReco"/>
            <w:bookmarkEnd w:id="1004"/>
          </w:p>
        </w:tc>
      </w:tr>
      <w:tr>
        <w:trPr/>
        <w:tc>
          <w:tcPr>
            <w:tcW w:w="7655"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70,435</w:t>
            </w:r>
          </w:p>
        </w:tc>
        <w:tc>
          <w:tcPr>
            <w:tcW w:w="110" w:type="dxa"/>
            <w:tcBorders/>
            <w:shd w:fill="CCEEFF" w:val="clear"/>
            <w:tcMar>
              <w:bottom w:w="0" w:type="dxa"/>
            </w:tcMar>
            <w:vAlign w:val="center"/>
          </w:tcPr>
          <w:p>
            <w:pPr>
              <w:pStyle w:val="TableContents"/>
              <w:bidi w:val="0"/>
              <w:spacing w:before="0" w:after="283"/>
              <w:jc w:val="left"/>
              <w:rPr/>
            </w:pPr>
            <w:r>
              <w:rPr/>
              <w:t> </w:t>
            </w:r>
            <w:bookmarkStart w:id="1005" w:name="xdx_402_eus-gaap--BusinessCombinationRec"/>
            <w:bookmarkEnd w:id="1005"/>
          </w:p>
        </w:tc>
      </w:tr>
      <w:tr>
        <w:trPr/>
        <w:tc>
          <w:tcPr>
            <w:tcW w:w="7655" w:type="dxa"/>
            <w:tcBorders/>
            <w:shd w:fill="FFFFFF" w:val="clear"/>
            <w:tcMar>
              <w:bottom w:w="0" w:type="dxa"/>
            </w:tcMar>
            <w:vAlign w:val="center"/>
          </w:tcPr>
          <w:p>
            <w:pPr>
              <w:pStyle w:val="TableContents"/>
              <w:bidi w:val="0"/>
              <w:spacing w:before="0" w:after="283"/>
              <w:jc w:val="both"/>
              <w:rPr/>
            </w:pPr>
            <w:r>
              <w:rPr/>
              <w:t>Total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pPr>
            <w:r>
              <w:rPr/>
              <w:t>118,348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655" w:type="dxa"/>
            <w:tcBorders/>
            <w:shd w:fill="CCEEFF" w:val="clear"/>
            <w:tcMar>
              <w:bottom w:w="0" w:type="dxa"/>
            </w:tcMar>
            <w:vAlign w:val="center"/>
          </w:tcPr>
          <w:p>
            <w:pPr>
              <w:pStyle w:val="TableContents"/>
              <w:bidi w:val="0"/>
              <w:spacing w:before="0" w:after="283"/>
              <w:jc w:val="both"/>
              <w:rPr>
                <w:b/>
              </w:rPr>
            </w:pPr>
            <w:r>
              <w:rPr>
                <w:b/>
              </w:rPr>
              <w:t>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006" w:name="xdx_409_ecustom--BusinessCombinationReco"/>
            <w:bookmarkEnd w:id="1006"/>
          </w:p>
        </w:tc>
      </w:tr>
      <w:tr>
        <w:trPr/>
        <w:tc>
          <w:tcPr>
            <w:tcW w:w="7655" w:type="dxa"/>
            <w:tcBorders/>
            <w:shd w:fill="FFFFFF" w:val="clear"/>
            <w:tcMar>
              <w:bottom w:w="0" w:type="dxa"/>
            </w:tcMar>
            <w:vAlign w:val="center"/>
          </w:tcPr>
          <w:p>
            <w:pPr>
              <w:pStyle w:val="TableContents"/>
              <w:bidi w:val="0"/>
              <w:spacing w:before="0" w:after="283"/>
              <w:jc w:val="both"/>
              <w:rPr/>
            </w:pPr>
            <w:r>
              <w:rPr/>
              <w:t>Accounts payable and 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(262</w:t>
            </w:r>
          </w:p>
        </w:tc>
        <w:tc>
          <w:tcPr>
            <w:tcW w:w="110" w:type="dxa"/>
            <w:tcBorders/>
            <w:shd w:fill="FFFFFF" w:val="clear"/>
            <w:tcMar>
              <w:bottom w:w="0" w:type="dxa"/>
            </w:tcMar>
            <w:vAlign w:val="center"/>
          </w:tcPr>
          <w:p>
            <w:pPr>
              <w:pStyle w:val="TableContents"/>
              <w:bidi w:val="0"/>
              <w:spacing w:before="0" w:after="283"/>
              <w:jc w:val="left"/>
              <w:rPr/>
            </w:pPr>
            <w:r>
              <w:rPr/>
              <w:t>)</w:t>
            </w:r>
            <w:bookmarkStart w:id="1007" w:name="xdx_40A_eus-gaap--BusinessCombinationRec"/>
            <w:bookmarkEnd w:id="1007"/>
          </w:p>
        </w:tc>
      </w:tr>
      <w:tr>
        <w:trPr/>
        <w:tc>
          <w:tcPr>
            <w:tcW w:w="7655" w:type="dxa"/>
            <w:tcBorders/>
            <w:shd w:fill="CCEEFF" w:val="clear"/>
            <w:tcMar>
              <w:bottom w:w="0" w:type="dxa"/>
            </w:tcMar>
            <w:vAlign w:val="center"/>
          </w:tcPr>
          <w:p>
            <w:pPr>
              <w:pStyle w:val="TableContents"/>
              <w:bidi w:val="0"/>
              <w:spacing w:before="0" w:after="283"/>
              <w:jc w:val="both"/>
              <w:rPr/>
            </w:pPr>
            <w:r>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(12,588</w:t>
            </w:r>
          </w:p>
        </w:tc>
        <w:tc>
          <w:tcPr>
            <w:tcW w:w="110" w:type="dxa"/>
            <w:tcBorders/>
            <w:shd w:fill="CCEEFF" w:val="clear"/>
            <w:tcMar>
              <w:bottom w:w="0" w:type="dxa"/>
            </w:tcMar>
            <w:vAlign w:val="center"/>
          </w:tcPr>
          <w:p>
            <w:pPr>
              <w:pStyle w:val="TableContents"/>
              <w:bidi w:val="0"/>
              <w:spacing w:before="0" w:after="283"/>
              <w:jc w:val="left"/>
              <w:rPr/>
            </w:pPr>
            <w:r>
              <w:rPr/>
              <w:t>)</w:t>
            </w:r>
            <w:bookmarkStart w:id="1008" w:name="xdx_405_eus-gaap--BusinessCombinationRec"/>
            <w:bookmarkEnd w:id="1008"/>
          </w:p>
        </w:tc>
      </w:tr>
      <w:tr>
        <w:trPr/>
        <w:tc>
          <w:tcPr>
            <w:tcW w:w="7655" w:type="dxa"/>
            <w:tcBorders/>
            <w:shd w:fill="FFFFFF" w:val="clear"/>
            <w:tcMar>
              <w:bottom w:w="0" w:type="dxa"/>
            </w:tcMar>
            <w:vAlign w:val="center"/>
          </w:tcPr>
          <w:p>
            <w:pPr>
              <w:pStyle w:val="TableContents"/>
              <w:bidi w:val="0"/>
              <w:spacing w:before="0" w:after="283"/>
              <w:jc w:val="both"/>
              <w:rPr/>
            </w:pPr>
            <w:r>
              <w:rPr/>
              <w:t>Total liabilities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pPr>
            <w:r>
              <w:rPr/>
              <w:t>(12,850</w:t>
            </w:r>
          </w:p>
        </w:tc>
        <w:tc>
          <w:tcPr>
            <w:tcW w:w="110" w:type="dxa"/>
            <w:tcBorders/>
            <w:shd w:fill="FFFFFF" w:val="clear"/>
            <w:tcMar>
              <w:bottom w:w="0" w:type="dxa"/>
            </w:tcMar>
            <w:vAlign w:val="center"/>
          </w:tcPr>
          <w:p>
            <w:pPr>
              <w:pStyle w:val="TableContents"/>
              <w:bidi w:val="0"/>
              <w:spacing w:before="0" w:after="283"/>
              <w:jc w:val="left"/>
              <w:rPr/>
            </w:pPr>
            <w:r>
              <w:rPr/>
              <w:t>)</w:t>
            </w:r>
            <w:bookmarkStart w:id="1009" w:name="xdx_405_eus-gaap--BusinessCombinationRec"/>
            <w:bookmarkEnd w:id="1009"/>
          </w:p>
        </w:tc>
      </w:tr>
      <w:tr>
        <w:trPr/>
        <w:tc>
          <w:tcPr>
            <w:tcW w:w="7655" w:type="dxa"/>
            <w:tcBorders/>
            <w:shd w:fill="CCEEFF" w:val="clear"/>
            <w:tcMar>
              <w:bottom w:w="0" w:type="dxa"/>
            </w:tcMar>
            <w:vAlign w:val="center"/>
          </w:tcPr>
          <w:p>
            <w:pPr>
              <w:pStyle w:val="TableContents"/>
              <w:bidi w:val="0"/>
              <w:spacing w:before="0" w:after="283"/>
              <w:jc w:val="both"/>
              <w:rPr>
                <w:b/>
              </w:rPr>
            </w:pPr>
            <w:r>
              <w:rPr>
                <w:b/>
              </w:rPr>
              <w:t>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105,498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10" w:name="xdx_8AB_zgv6Qud17IK6"/>
      <w:bookmarkEnd w:id="101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transaction was structured as a stock acquisition for both U.S. and Canadian tax purposes. No election was made under IRC §338(g); therefore, no step-up in the tax basis of the acquired assets was obtained in either jurisdiction. The purchase price allocation created taxable temporary differences related to identifiable intangible assets, resulting in a deferred tax liability of approximately $</w:t>
      </w:r>
      <w:bookmarkStart w:id="1011" w:name="xdx_90F_eus-gaap--DeferredTaxLiabilities"/>
      <w:bookmarkEnd w:id="1011"/>
      <w:r>
        <w:rPr>
          <w:rFonts w:ascii="Times New Roman;Times;Serif" w:hAnsi="Times New Roman;Times;Serif"/>
          <w:b w:val="false"/>
          <w:i w:val="false"/>
          <w:caps w:val="false"/>
          <w:smallCaps w:val="false"/>
          <w:sz w:val="20"/>
        </w:rPr>
        <w:t>12.6 million, measured using the enacted combined Canadian federal and provincial rate of 26.5%. Because these deferred tax liabilities arise in a separate foreign jurisdiction, they cannot offset deferred tax assets of the U.S. parent. The corresponding increase in goodwill was recognized as part of purchase accounting.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finite-lived intangible assets: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 Valued at $</w:t>
            </w:r>
            <w:bookmarkStart w:id="1012" w:name="xdx_90A_eus-gaap--FiniteLivedIntangibleA"/>
            <w:bookmarkEnd w:id="1012"/>
            <w:r>
              <w:rPr>
                <w:rFonts w:ascii="Times New Roman;Times;Serif" w:hAnsi="Times New Roman;Times;Serif"/>
                <w:b w:val="false"/>
                <w:i w:val="false"/>
                <w:caps w:val="false"/>
                <w:smallCaps w:val="false"/>
                <w:sz w:val="20"/>
              </w:rPr>
              <w:t xml:space="preserve">5.1 million using the relief-from-royalty method, applying a </w:t>
            </w:r>
            <w:bookmarkStart w:id="1013" w:name="xdx_90F_ecustom--RoyaltyRate_iI_pid_dp_u"/>
            <w:bookmarkEnd w:id="1013"/>
            <w:r>
              <w:rPr>
                <w:rFonts w:ascii="Times New Roman;Times;Serif" w:hAnsi="Times New Roman;Times;Serif"/>
                <w:b w:val="false"/>
                <w:i w:val="false"/>
                <w:caps w:val="false"/>
                <w:smallCaps w:val="false"/>
                <w:sz w:val="20"/>
              </w:rPr>
              <w:t xml:space="preserve">1.0% royalty rate and a </w:t>
            </w:r>
            <w:bookmarkStart w:id="1014" w:name="xdx_909_ecustom--DiscountRate_iI_pid_dp_"/>
            <w:bookmarkEnd w:id="1014"/>
            <w:r>
              <w:rPr>
                <w:rFonts w:ascii="Times New Roman;Times;Serif" w:hAnsi="Times New Roman;Times;Serif"/>
                <w:b w:val="false"/>
                <w:i w:val="false"/>
                <w:caps w:val="false"/>
                <w:smallCaps w:val="false"/>
                <w:sz w:val="20"/>
              </w:rPr>
              <w:t xml:space="preserve">40.5% discount rate. The trade name is expected to be utilized over a </w:t>
            </w:r>
            <w:bookmarkStart w:id="1015" w:name="xdx_90E_eus-gaap--FiniteLivedIntangibleA"/>
            <w:bookmarkEnd w:id="1015"/>
            <w:r>
              <w:rPr>
                <w:rFonts w:ascii="Times New Roman;Times;Serif" w:hAnsi="Times New Roman;Times;Serif"/>
                <w:b w:val="false"/>
                <w:i w:val="false"/>
                <w:caps w:val="false"/>
                <w:smallCaps w:val="false"/>
                <w:sz w:val="20"/>
              </w:rPr>
              <w:t>10-year period and is amortized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Comprised of two distinct components, both valued using the multi-period excess earnings method (MPEEM) and amortized over </w:t>
            </w:r>
            <w:bookmarkStart w:id="1016" w:name="xdx_900_eus-gaap--FiniteLivedIntangibleA"/>
            <w:bookmarkEnd w:id="1016"/>
            <w:r>
              <w:rPr>
                <w:rFonts w:ascii="Times New Roman;Times;Serif" w:hAnsi="Times New Roman;Times;Serif"/>
                <w:b w:val="false"/>
                <w:i w:val="false"/>
                <w:caps w:val="false"/>
                <w:smallCaps w:val="false"/>
                <w:sz w:val="20"/>
              </w:rPr>
              <w:t>8 years: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Securitization Platform: Valued at $</w:t>
            </w:r>
            <w:bookmarkStart w:id="1017" w:name="xdx_90A_eus-gaap--FiniteLivedIntangibleA"/>
            <w:bookmarkEnd w:id="1017"/>
            <w:r>
              <w:rPr>
                <w:rFonts w:ascii="Times New Roman;Times;Serif" w:hAnsi="Times New Roman;Times;Serif"/>
                <w:b w:val="false"/>
                <w:i w:val="false"/>
                <w:caps w:val="false"/>
                <w:smallCaps w:val="false"/>
                <w:sz w:val="20"/>
              </w:rPr>
              <w:t>31.1 million, representing proprietary protocols and infrastructure enabling the tokenization of real-world assets and integration with decentralized finance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Integration: Valued at $</w:t>
            </w:r>
            <w:bookmarkStart w:id="1018" w:name="xdx_902_eus-gaap--FiniteLivedIntangibleA"/>
            <w:bookmarkEnd w:id="1018"/>
            <w:r>
              <w:rPr>
                <w:rFonts w:ascii="Times New Roman;Times;Serif" w:hAnsi="Times New Roman;Times;Serif"/>
                <w:b w:val="false"/>
                <w:i w:val="false"/>
                <w:caps w:val="false"/>
                <w:smallCaps w:val="false"/>
                <w:sz w:val="20"/>
              </w:rPr>
              <w:t>8.9 million, reflecting proprietary systems facilitating token creation and secondary market trading through blockchain-based platforms.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 Valued at $</w:t>
            </w:r>
            <w:bookmarkStart w:id="1019" w:name="xdx_90A_eus-gaap--FiniteLivedIntangibleA"/>
            <w:bookmarkEnd w:id="1019"/>
            <w:r>
              <w:rPr>
                <w:rFonts w:ascii="Times New Roman;Times;Serif" w:hAnsi="Times New Roman;Times;Serif"/>
                <w:b w:val="false"/>
                <w:i w:val="false"/>
                <w:caps w:val="false"/>
                <w:smallCaps w:val="false"/>
                <w:sz w:val="20"/>
              </w:rPr>
              <w:t>2.4 million using the cost approach, based on the estimated cost to recreate the regulatory and legal infrastructure necessary for operations. The asset has a useful life of 7 years and is amortized accordingly. The legal and compliance framework is expected to contribute to future revenue generation by enabling the Company to operate in regulated jurisdictions, supporting onboarding of clients who require robust compliance infrastructure, enhancing credibility with partners, regulators and investors and reducing legal and regulatory risk exposure.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of $</w:t>
      </w:r>
      <w:bookmarkStart w:id="1020" w:name="xdx_90C_eus-gaap--GoodwillAcquiredDuring"/>
      <w:bookmarkStart w:id="1021" w:name="xdx_901_eus-gaap--IntangibleAssetsNetInc"/>
      <w:bookmarkEnd w:id="1020"/>
      <w:bookmarkEnd w:id="1021"/>
      <w:r>
        <w:rPr>
          <w:rFonts w:ascii="Times New Roman;Times;Serif" w:hAnsi="Times New Roman;Times;Serif"/>
          <w:b w:val="false"/>
          <w:i w:val="false"/>
          <w:caps w:val="false"/>
          <w:smallCaps w:val="false"/>
          <w:sz w:val="20"/>
        </w:rPr>
        <w:t>70.4 million represents the excess of the purchase consideration over the fair value of net assets acquired and was recognized in connection with the acquisition. None of the goodwill is expected to be deductible for tax purposes. The goodwill is assigned to the consolidated reporting unit, as the Company operates as a single segment. The goodwill primarily represents expected synergies, assembled workforce, and future growth potential. No goodwill arose from step acquisitions or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purchase price allocation for the acquisition of Streamex Exchange remains preliminary.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recorded as a business combination on a preliminary valuation of assets acquired and liabilities assumed at their acquisition date fair values using unobservable inputs that are supported by little or no market activity and are significant to their fair value of the assets and liabilities (“Level 3” inputs). We expect to complete our purchase price allocation, as well as our fair value estimate of the purchase price consideration as soon as reasonably possible, not to exceed one year from the acquisition date. Adjustments to the preliminary purchase price allocation could be material. Goodwill represent the excess of the purchase price consideration over the preliminary valuation of the net assets acquired.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purchase price allocation remains preliminary. The Company is continuing to assess the fair values of certain identifiable intangible assets.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Pro-Forma Financial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has been prepared for the years ended December 31, 2025 and 2024, and is based on the historical consolidated financial statements of the Company and Streamex, adjusted to give effect to the acquisition and related pro forma adjustments. Streamex’s results of operations have been included in the Company’s consolidated financial statements from the acquisition date of May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presented for illustrative purposes only and is not necessarily indicative of the results of operations that would have been realized had the acquisition occurred on January 1, 2024, nor is it indicative of the future results of operations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does not give effect to the potential impact of future economic conditions, regulatory matters, or any anticipated synergies, operating efficiencies, or cost savings that may result from the acquisition. In addition, the unaudited pro forma financial information does not include any integration costs or remaining transaction costs that the Company may incur in connection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includes adjustments for, among other items:</w:t>
      </w:r>
    </w:p>
    <w:p>
      <w:pPr>
        <w:pStyle w:val="TextBody"/>
        <w:bidi w:val="0"/>
        <w:spacing w:before="0" w:after="0"/>
        <w:ind w:left="0" w:right="0" w:hanging="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and recognition of acquired assets and assumed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recognition of goodwill;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and amortization of acquired intangible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effects related to the acquisition;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intercompany balances and transactions;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in accordance with ASC 830, Foreign Currency Matters.</w:t>
            </w:r>
          </w:p>
        </w:tc>
      </w:tr>
    </w:tbl>
    <w:p>
      <w:pPr>
        <w:pStyle w:val="TextBody"/>
        <w:bidi w:val="0"/>
        <w:spacing w:before="0" w:after="0"/>
        <w:ind w:left="773"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remains preliminary and is subject to change during the measurement period as additional information becomes available. Any such changes could have a material impact on the 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2" w:name="xdx_895_eus-gaap--BusinessAcquisitionPro"/>
      <w:bookmarkEnd w:id="1022"/>
      <w:r>
        <w:rPr>
          <w:rFonts w:ascii="Times New Roman;Times;Serif" w:hAnsi="Times New Roman;Times;Serif"/>
          <w:b w:val="false"/>
          <w:i w:val="false"/>
          <w:caps w:val="false"/>
          <w:smallCaps w:val="false"/>
          <w:sz w:val="20"/>
        </w:rPr>
        <w:t>All amounts presented are in U.S. dollars. The pro forma consolidated results of revenue and net loss, assuming the acquisition had occurred on January 1, 2025 and assuming the acquisitions had occurred on April 1, 2024, the date of inception of Streamex Exchange, is as follows:</w:t>
      </w:r>
    </w:p>
    <w:p>
      <w:pPr>
        <w:pStyle w:val="TextBody"/>
        <w:bidi w:val="0"/>
        <w:spacing w:before="0" w:after="0"/>
        <w:ind w:left="0" w:right="0" w:hanging="0"/>
        <w:jc w:val="both"/>
        <w:rPr>
          <w:caps w:val="false"/>
          <w:smallCaps w:val="false"/>
        </w:rPr>
      </w:pPr>
      <w:r>
        <w:rPr>
          <w:caps w:val="false"/>
          <w:smallCaps w:val="false"/>
        </w:rPr>
        <w:t> </w:t>
      </w:r>
      <w:bookmarkStart w:id="1023" w:name="xdx_8BB_zHNau5yATDih"/>
      <w:bookmarkEnd w:id="1023"/>
      <w:r>
        <w:rPr>
          <w:rFonts w:ascii="Times New Roman;Times;Serif" w:hAnsi="Times New Roman;Times;Serif"/>
          <w:b w:val="false"/>
          <w:i w:val="false"/>
          <w:caps w:val="false"/>
          <w:smallCaps w:val="false"/>
          <w:sz w:val="20"/>
        </w:rPr>
        <w:t>SCHEDULE OF UNAUDITED PRO FORMA CONSOLIDATED RESULTS OF REVENUE AND NET LOSS</w:t>
      </w:r>
    </w:p>
    <w:tbl>
      <w:tblPr>
        <w:tblW w:w="5168" w:type="dxa"/>
        <w:jc w:val="left"/>
        <w:tblInd w:w="0" w:type="dxa"/>
        <w:tblLayout w:type="fixed"/>
        <w:tblCellMar>
          <w:top w:w="0" w:type="dxa"/>
          <w:left w:w="0" w:type="dxa"/>
          <w:bottom w:w="0" w:type="dxa"/>
          <w:right w:w="0" w:type="dxa"/>
        </w:tblCellMar>
      </w:tblPr>
      <w:tblGrid>
        <w:gridCol w:w="755"/>
        <w:gridCol w:w="60"/>
        <w:gridCol w:w="281"/>
        <w:gridCol w:w="1763"/>
        <w:gridCol w:w="95"/>
        <w:gridCol w:w="60"/>
        <w:gridCol w:w="319"/>
        <w:gridCol w:w="1725"/>
        <w:gridCol w:w="110"/>
      </w:tblGrid>
      <w:tr>
        <w:trPr/>
        <w:tc>
          <w:tcPr>
            <w:tcW w:w="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024" w:name="xdx_496_20250101__20251231_zMGqPL6zNefl"/>
            <w:bookmarkEnd w:id="1024"/>
          </w:p>
        </w:tc>
        <w:tc>
          <w:tcPr>
            <w:tcW w:w="2044" w:type="dxa"/>
            <w:gridSpan w:val="2"/>
            <w:tcBorders>
              <w:bottom w:val="single" w:sz="8"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25" w:name="xdx_49E_20240101__20241231_zsNfCQCTzMcd"/>
            <w:bookmarkEnd w:id="1025"/>
          </w:p>
        </w:tc>
        <w:tc>
          <w:tcPr>
            <w:tcW w:w="2044" w:type="dxa"/>
            <w:gridSpan w:val="2"/>
            <w:tcBorders>
              <w:bottom w:val="single" w:sz="8" w:space="0" w:color="000000"/>
            </w:tcBorders>
            <w:tcMar>
              <w:bottom w:w="28" w:type="dxa"/>
            </w:tcMar>
            <w:vAlign w:val="center"/>
          </w:tcPr>
          <w:p>
            <w:pPr>
              <w:pStyle w:val="TableContents"/>
              <w:bidi w:val="0"/>
              <w:jc w:val="center"/>
              <w:rPr>
                <w:b/>
              </w:rPr>
            </w:pPr>
            <w:r>
              <w:rPr>
                <w:b/>
              </w:rPr>
              <w:t>For the years ended</w:t>
            </w:r>
          </w:p>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left"/>
              <w:rPr/>
            </w:pPr>
            <w:r>
              <w:rPr/>
              <w:t> </w:t>
            </w:r>
            <w:bookmarkStart w:id="1026" w:name="xdx_40A_eus-gaap--BusinessAcquisitionsPr"/>
            <w:bookmarkEnd w:id="1026"/>
          </w:p>
        </w:tc>
      </w:tr>
      <w:tr>
        <w:trPr/>
        <w:tc>
          <w:tcPr>
            <w:tcW w:w="7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63"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bookmarkStart w:id="1027" w:name="xdx_409_eus-gaap--BusinessAcquisitionsPr"/>
            <w:bookmarkEnd w:id="1027"/>
          </w:p>
        </w:tc>
      </w:tr>
      <w:tr>
        <w:trPr/>
        <w:tc>
          <w:tcPr>
            <w:tcW w:w="7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63" w:type="dxa"/>
            <w:tcBorders>
              <w:bottom w:val="double" w:sz="6" w:space="0" w:color="000000"/>
            </w:tcBorders>
            <w:shd w:fill="FFFFFF" w:val="clear"/>
            <w:tcMar>
              <w:bottom w:w="28" w:type="dxa"/>
            </w:tcMar>
            <w:vAlign w:val="center"/>
          </w:tcPr>
          <w:p>
            <w:pPr>
              <w:pStyle w:val="TableContents"/>
              <w:bidi w:val="0"/>
              <w:spacing w:before="0" w:after="283"/>
              <w:jc w:val="right"/>
              <w:rPr/>
            </w:pPr>
            <w:r>
              <w:rPr/>
              <w:t>(464,888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pPr>
            <w:r>
              <w:rPr/>
              <w:t>(21,059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28" w:name="xdx_8A9_zYcI6H6weide"/>
      <w:bookmarkEnd w:id="10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Nonrecurring Pro Forma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results for the year ended December 31, 2025, include material nonrecurring adjustments of $</w:t>
      </w:r>
      <w:bookmarkStart w:id="1029" w:name="xdx_902_eus-gaap--AmortizationOfIntangib"/>
      <w:bookmarkEnd w:id="1029"/>
      <w:r>
        <w:rPr>
          <w:rFonts w:ascii="Times New Roman;Times;Serif" w:hAnsi="Times New Roman;Times;Serif"/>
          <w:b w:val="false"/>
          <w:i w:val="false"/>
          <w:caps w:val="false"/>
          <w:smallCaps w:val="false"/>
          <w:sz w:val="20"/>
        </w:rPr>
        <w:t>2.3 million related to the amortization of intangible assets acquired in connection with the Streamex Exchange acquisition, and $</w:t>
      </w:r>
      <w:bookmarkStart w:id="1030" w:name="xdx_90B_eus-gaap--IncomeTaxExpenseBenefi"/>
      <w:bookmarkEnd w:id="1030"/>
      <w:r>
        <w:rPr>
          <w:rFonts w:ascii="Times New Roman;Times;Serif" w:hAnsi="Times New Roman;Times;Serif"/>
          <w:b w:val="false"/>
          <w:i w:val="false"/>
          <w:caps w:val="false"/>
          <w:smallCaps w:val="false"/>
          <w:sz w:val="20"/>
        </w:rPr>
        <w:t>608 related to income tax benefit recognized from the deferred tax liability acquired in connection with the Streamex Exchange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results for the year ended December 31, 2024, include material nonrecurring adjustments of $</w:t>
      </w:r>
      <w:bookmarkStart w:id="1031" w:name="xdx_90A_eus-gaap--AmortizationOfIntangib"/>
      <w:bookmarkEnd w:id="1031"/>
      <w:r>
        <w:rPr>
          <w:rFonts w:ascii="Times New Roman;Times;Serif" w:hAnsi="Times New Roman;Times;Serif"/>
          <w:b w:val="false"/>
          <w:i w:val="false"/>
          <w:caps w:val="false"/>
          <w:smallCaps w:val="false"/>
          <w:sz w:val="20"/>
        </w:rPr>
        <w:t>4.4 million related to the amortization of intangible assets acquired in connection with the Streamex Exchange acquisition, $</w:t>
      </w:r>
      <w:bookmarkStart w:id="1032" w:name="xdx_909_eus-gaap--IncomeTaxExpenseBenefi"/>
      <w:bookmarkEnd w:id="1032"/>
      <w:r>
        <w:rPr>
          <w:rFonts w:ascii="Times New Roman;Times;Serif" w:hAnsi="Times New Roman;Times;Serif"/>
          <w:b w:val="false"/>
          <w:i w:val="false"/>
          <w:caps w:val="false"/>
          <w:smallCaps w:val="false"/>
          <w:sz w:val="20"/>
        </w:rPr>
        <w:t>1.2 million related to income tax benefit recognized from the deferred tax liability acquired in connection with the Streamex Exchange acquisition, $</w:t>
      </w:r>
      <w:bookmarkStart w:id="1033" w:name="xdx_90D_ecustom--AccruedFindersFees_iI_p"/>
      <w:bookmarkEnd w:id="1033"/>
      <w:r>
        <w:rPr>
          <w:rFonts w:ascii="Times New Roman;Times;Serif" w:hAnsi="Times New Roman;Times;Serif"/>
          <w:b w:val="false"/>
          <w:i w:val="false"/>
          <w:caps w:val="false"/>
          <w:smallCaps w:val="false"/>
          <w:sz w:val="20"/>
        </w:rPr>
        <w:t>4.8 million related to the finders fees incurred and earned upon closing of the transaction, $</w:t>
      </w:r>
      <w:bookmarkStart w:id="1034" w:name="xdx_901_eus-gaap--SeveranceCosts1_pn3n3_"/>
      <w:bookmarkEnd w:id="1034"/>
      <w:r>
        <w:rPr>
          <w:rFonts w:ascii="Times New Roman;Times;Serif" w:hAnsi="Times New Roman;Times;Serif"/>
          <w:b w:val="false"/>
          <w:i w:val="false"/>
          <w:caps w:val="false"/>
          <w:smallCaps w:val="false"/>
          <w:sz w:val="20"/>
        </w:rPr>
        <w:t>400 of severance expense related to the resignation of the Company’s former CEO following the acquisition, and $</w:t>
      </w:r>
      <w:bookmarkStart w:id="1035" w:name="xdx_90C_eus-gaap--StockIssuedDuringPerio"/>
      <w:bookmarkEnd w:id="1035"/>
      <w:r>
        <w:rPr>
          <w:rFonts w:ascii="Times New Roman;Times;Serif" w:hAnsi="Times New Roman;Times;Serif"/>
          <w:b w:val="false"/>
          <w:i w:val="false"/>
          <w:caps w:val="false"/>
          <w:smallCaps w:val="false"/>
          <w:sz w:val="20"/>
        </w:rPr>
        <w:t xml:space="preserve">1.0 million related to the issuance of </w:t>
      </w:r>
      <w:bookmarkStart w:id="1036" w:name="xdx_90A_eus-gaap--StockIssuedDuringPerio"/>
      <w:bookmarkEnd w:id="1036"/>
      <w:r>
        <w:rPr>
          <w:rFonts w:ascii="Times New Roman;Times;Serif" w:hAnsi="Times New Roman;Times;Serif"/>
          <w:b w:val="false"/>
          <w:i w:val="false"/>
          <w:caps w:val="false"/>
          <w:smallCaps w:val="false"/>
          <w:sz w:val="20"/>
        </w:rPr>
        <w:t>200,000 shares of the Company’s common stock to a consultant in lieu of cash compensation in connection with the acquisition. The finder’s fee amount was revised during the fourth quarter of 2025, as one of the originally identified finders was ultimately determined to be ineligible to receive equity consideration. The revised finder’s fee amount is reflected in the audited consolidated financial statements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nonrecurring adjustments are included only to the extent required for pro forma presentation and are not expected to have a continuing impact on the results of operations of the combined company beyond the periods presented.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37" w:name="xdx_803_eus-gaap--FairValueDisclosuresTe"/>
      <w:bookmarkEnd w:id="1037"/>
      <w:r>
        <w:rPr>
          <w:rFonts w:ascii="Times New Roman;Times;Serif" w:hAnsi="Times New Roman;Times;Serif"/>
          <w:b/>
          <w:i w:val="false"/>
          <w:caps w:val="false"/>
          <w:smallCaps w:val="false"/>
          <w:sz w:val="20"/>
        </w:rPr>
        <w:t xml:space="preserve">NOTE 12 – </w:t>
      </w:r>
      <w:bookmarkStart w:id="1038" w:name="xdx_82D_zBMuPDhNjja1"/>
      <w:bookmarkEnd w:id="1038"/>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instruments at fair value on a recurring basis in accordance with ASC 820, Fair Value Measurement. Fair value is defined as the price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that are measured at fair value on a nonrecurring basis relate primarily to tangible property and equipment, goodwill and other intangible assets, which are remeasured when the derived fair value is below carrying value in the Consolidated Balance Sheets. For these assets, the Company does not periodically adjust carrying value to fair value except in the event of impairment. If it is determined that impairment has occurred, the carrying value of the asset is reduced to fair value and the difference is included in impairments and other charges,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Nonrecurring Level 3 Fair Value Measurements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9" w:name="xdx_896_eus-gaap--FairValueAssetsMeasure"/>
      <w:bookmarkEnd w:id="1039"/>
      <w:r>
        <w:rPr>
          <w:rFonts w:ascii="Times New Roman;Times;Serif" w:hAnsi="Times New Roman;Times;Serif"/>
          <w:b w:val="false"/>
          <w:i w:val="false"/>
          <w:caps w:val="false"/>
          <w:smallCaps w:val="false"/>
          <w:sz w:val="20"/>
        </w:rPr>
        <w:t>Assets that are measured at fair value and classified as level 3 on a nonrecurring basis are as follows (in thousands):</w:t>
      </w:r>
    </w:p>
    <w:p>
      <w:pPr>
        <w:pStyle w:val="TextBody"/>
        <w:bidi w:val="0"/>
        <w:spacing w:before="0" w:after="0"/>
        <w:ind w:left="0" w:right="0" w:hanging="0"/>
        <w:jc w:val="both"/>
        <w:rPr>
          <w:caps w:val="false"/>
          <w:smallCaps w:val="false"/>
        </w:rPr>
      </w:pPr>
      <w:r>
        <w:rPr>
          <w:caps w:val="false"/>
          <w:smallCaps w:val="false"/>
        </w:rPr>
        <w:t> </w:t>
      </w:r>
      <w:bookmarkStart w:id="1040" w:name="xdx_8B1_zkCkCyfXfaxg"/>
      <w:bookmarkEnd w:id="1040"/>
      <w:r>
        <w:rPr>
          <w:rFonts w:ascii="Times New Roman;Times;Serif" w:hAnsi="Times New Roman;Times;Serif"/>
          <w:b w:val="false"/>
          <w:i w:val="false"/>
          <w:caps w:val="false"/>
          <w:smallCaps w:val="false"/>
          <w:sz w:val="20"/>
        </w:rPr>
        <w:t>SUMMARY OF ASSETS MEASURED AT FAIR VALUE ON NONRECURRING BASIS</w:t>
      </w:r>
    </w:p>
    <w:tbl>
      <w:tblPr>
        <w:tblW w:w="4704" w:type="dxa"/>
        <w:jc w:val="left"/>
        <w:tblInd w:w="0" w:type="dxa"/>
        <w:tblLayout w:type="fixed"/>
        <w:tblCellMar>
          <w:top w:w="0" w:type="dxa"/>
          <w:left w:w="0" w:type="dxa"/>
          <w:bottom w:w="28" w:type="dxa"/>
          <w:right w:w="0" w:type="dxa"/>
        </w:tblCellMar>
      </w:tblPr>
      <w:tblGrid>
        <w:gridCol w:w="3215"/>
        <w:gridCol w:w="60"/>
        <w:gridCol w:w="231"/>
        <w:gridCol w:w="1123"/>
        <w:gridCol w:w="75"/>
      </w:tblGrid>
      <w:tr>
        <w:trPr/>
        <w:tc>
          <w:tcPr>
            <w:tcW w:w="3215" w:type="dxa"/>
            <w:tcBorders>
              <w:bottom w:val="single" w:sz="8" w:space="0" w:color="000000"/>
            </w:tcBorders>
            <w:vAlign w:val="center"/>
          </w:tcPr>
          <w:p>
            <w:pPr>
              <w:pStyle w:val="TableContents"/>
              <w:bidi w:val="0"/>
              <w:spacing w:before="0" w:after="283"/>
              <w:jc w:val="both"/>
              <w:rPr/>
            </w:pPr>
            <w:r>
              <w:rPr/>
              <w:t>Description</w:t>
            </w:r>
          </w:p>
        </w:tc>
        <w:tc>
          <w:tcPr>
            <w:tcW w:w="60" w:type="dxa"/>
            <w:tcBorders/>
            <w:tcMar>
              <w:bottom w:w="0" w:type="dxa"/>
            </w:tcMar>
            <w:vAlign w:val="center"/>
          </w:tcPr>
          <w:p>
            <w:pPr>
              <w:pStyle w:val="TableContents"/>
              <w:bidi w:val="0"/>
              <w:spacing w:before="0" w:after="283"/>
              <w:jc w:val="left"/>
              <w:rPr/>
            </w:pPr>
            <w:r>
              <w:rPr/>
              <w:t> </w:t>
            </w:r>
            <w:bookmarkStart w:id="1041" w:name="xdx_495_20250528__us-gaap--FairValueByFa"/>
            <w:bookmarkEnd w:id="1041"/>
          </w:p>
        </w:tc>
        <w:tc>
          <w:tcPr>
            <w:tcW w:w="1354" w:type="dxa"/>
            <w:gridSpan w:val="2"/>
            <w:tcBorders>
              <w:bottom w:val="single" w:sz="8" w:space="0" w:color="000000"/>
            </w:tcBorders>
            <w:vAlign w:val="center"/>
          </w:tcPr>
          <w:p>
            <w:pPr>
              <w:pStyle w:val="TableContents"/>
              <w:bidi w:val="0"/>
              <w:spacing w:before="0" w:after="283"/>
              <w:jc w:val="center"/>
              <w:rPr/>
            </w:pPr>
            <w:r>
              <w:rPr/>
              <w:t>May 28, 2025</w:t>
            </w:r>
          </w:p>
        </w:tc>
        <w:tc>
          <w:tcPr>
            <w:tcW w:w="75" w:type="dxa"/>
            <w:tcBorders/>
            <w:tcMar>
              <w:bottom w:w="0" w:type="dxa"/>
            </w:tcMar>
            <w:vAlign w:val="center"/>
          </w:tcPr>
          <w:p>
            <w:pPr>
              <w:pStyle w:val="TableContents"/>
              <w:bidi w:val="0"/>
              <w:spacing w:before="0" w:after="283"/>
              <w:jc w:val="left"/>
              <w:rPr/>
            </w:pPr>
            <w:r>
              <w:rPr/>
              <w:t> </w:t>
            </w:r>
            <w:bookmarkStart w:id="1042" w:name="xdx_40C_eus-gaap--FiniteLivedIntangibleA"/>
            <w:bookmarkEnd w:id="1042"/>
          </w:p>
        </w:tc>
      </w:tr>
      <w:tr>
        <w:trPr/>
        <w:tc>
          <w:tcPr>
            <w:tcW w:w="3215" w:type="dxa"/>
            <w:tcBorders/>
            <w:shd w:fill="CCEEFF" w:val="clear"/>
            <w:tcMar>
              <w:bottom w:w="0" w:type="dxa"/>
            </w:tcMar>
            <w:vAlign w:val="center"/>
          </w:tcPr>
          <w:p>
            <w:pPr>
              <w:pStyle w:val="TableContents"/>
              <w:bidi w:val="0"/>
              <w:spacing w:before="0" w:after="283"/>
              <w:jc w:val="both"/>
              <w:rPr/>
            </w:pPr>
            <w:r>
              <w:rPr/>
              <w:t>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5,100</w:t>
            </w:r>
          </w:p>
        </w:tc>
        <w:tc>
          <w:tcPr>
            <w:tcW w:w="75" w:type="dxa"/>
            <w:tcBorders/>
            <w:shd w:fill="CCEEFF" w:val="clear"/>
            <w:tcMar>
              <w:bottom w:w="0" w:type="dxa"/>
            </w:tcMar>
            <w:vAlign w:val="center"/>
          </w:tcPr>
          <w:p>
            <w:pPr>
              <w:pStyle w:val="TableContents"/>
              <w:bidi w:val="0"/>
              <w:spacing w:before="0" w:after="283"/>
              <w:jc w:val="left"/>
              <w:rPr/>
            </w:pPr>
            <w:r>
              <w:rPr/>
              <w:t> </w:t>
            </w:r>
            <w:bookmarkStart w:id="1043" w:name="xdx_402_eus-gaap--FiniteLivedIntangibleA"/>
            <w:bookmarkEnd w:id="1043"/>
          </w:p>
        </w:tc>
      </w:tr>
      <w:tr>
        <w:trPr/>
        <w:tc>
          <w:tcPr>
            <w:tcW w:w="3215" w:type="dxa"/>
            <w:tcBorders/>
            <w:shd w:fill="FFFFFF" w:val="clear"/>
            <w:tcMar>
              <w:bottom w:w="0" w:type="dxa"/>
            </w:tcMar>
            <w:vAlign w:val="center"/>
          </w:tcPr>
          <w:p>
            <w:pPr>
              <w:pStyle w:val="TableContents"/>
              <w:bidi w:val="0"/>
              <w:spacing w:before="0" w:after="283"/>
              <w:jc w:val="both"/>
              <w:rPr/>
            </w:pPr>
            <w:r>
              <w:rPr/>
              <w:t>Developed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3" w:type="dxa"/>
            <w:tcBorders/>
            <w:shd w:fill="FFFFFF" w:val="clear"/>
            <w:tcMar>
              <w:bottom w:w="0" w:type="dxa"/>
            </w:tcMar>
            <w:vAlign w:val="center"/>
          </w:tcPr>
          <w:p>
            <w:pPr>
              <w:pStyle w:val="TableContents"/>
              <w:bidi w:val="0"/>
              <w:spacing w:before="0" w:after="283"/>
              <w:jc w:val="right"/>
              <w:rPr/>
            </w:pPr>
            <w:r>
              <w:rPr/>
              <w:t>40,000</w:t>
            </w:r>
          </w:p>
        </w:tc>
        <w:tc>
          <w:tcPr>
            <w:tcW w:w="75" w:type="dxa"/>
            <w:tcBorders/>
            <w:shd w:fill="FFFFFF" w:val="clear"/>
            <w:tcMar>
              <w:bottom w:w="0" w:type="dxa"/>
            </w:tcMar>
            <w:vAlign w:val="center"/>
          </w:tcPr>
          <w:p>
            <w:pPr>
              <w:pStyle w:val="TableContents"/>
              <w:bidi w:val="0"/>
              <w:spacing w:before="0" w:after="283"/>
              <w:jc w:val="left"/>
              <w:rPr/>
            </w:pPr>
            <w:r>
              <w:rPr/>
              <w:t> </w:t>
            </w:r>
            <w:bookmarkStart w:id="1044" w:name="xdx_405_eus-gaap--FiniteLivedIntangibleA"/>
            <w:bookmarkEnd w:id="1044"/>
          </w:p>
        </w:tc>
      </w:tr>
      <w:tr>
        <w:trPr/>
        <w:tc>
          <w:tcPr>
            <w:tcW w:w="3215" w:type="dxa"/>
            <w:tcBorders/>
            <w:shd w:fill="CCEEFF" w:val="clear"/>
            <w:tcMar>
              <w:bottom w:w="0" w:type="dxa"/>
            </w:tcMar>
            <w:vAlign w:val="center"/>
          </w:tcPr>
          <w:p>
            <w:pPr>
              <w:pStyle w:val="TableContents"/>
              <w:bidi w:val="0"/>
              <w:spacing w:before="0" w:after="283"/>
              <w:jc w:val="both"/>
              <w:rPr/>
            </w:pPr>
            <w:r>
              <w:rPr/>
              <w:t>Legal and compliance framework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2,400</w:t>
            </w:r>
          </w:p>
        </w:tc>
        <w:tc>
          <w:tcPr>
            <w:tcW w:w="75" w:type="dxa"/>
            <w:tcBorders/>
            <w:shd w:fill="CCEEFF" w:val="clear"/>
            <w:tcMar>
              <w:bottom w:w="0" w:type="dxa"/>
            </w:tcMar>
            <w:vAlign w:val="center"/>
          </w:tcPr>
          <w:p>
            <w:pPr>
              <w:pStyle w:val="TableContents"/>
              <w:bidi w:val="0"/>
              <w:spacing w:before="0" w:after="283"/>
              <w:jc w:val="left"/>
              <w:rPr/>
            </w:pPr>
            <w:r>
              <w:rPr/>
              <w:t> </w:t>
            </w:r>
            <w:bookmarkStart w:id="1045" w:name="xdx_401_eus-gaap--FiniteLivedIntangibleA"/>
            <w:bookmarkEnd w:id="1045"/>
          </w:p>
        </w:tc>
      </w:tr>
      <w:tr>
        <w:trPr/>
        <w:tc>
          <w:tcPr>
            <w:tcW w:w="3215" w:type="dxa"/>
            <w:tcBorders/>
            <w:shd w:fill="FFFFFF" w:val="clear"/>
            <w:tcMar>
              <w:bottom w:w="0" w:type="dxa"/>
            </w:tcMar>
            <w:vAlign w:val="center"/>
          </w:tcPr>
          <w:p>
            <w:pPr>
              <w:pStyle w:val="TableContents"/>
              <w:bidi w:val="0"/>
              <w:spacing w:before="0" w:after="283"/>
              <w:jc w:val="both"/>
              <w:rPr/>
            </w:pPr>
            <w:r>
              <w:rPr/>
              <w:t>Fair value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3" w:type="dxa"/>
            <w:tcBorders/>
            <w:shd w:fill="FFFFFF" w:val="clear"/>
            <w:tcMar>
              <w:bottom w:w="0" w:type="dxa"/>
            </w:tcMar>
            <w:vAlign w:val="center"/>
          </w:tcPr>
          <w:p>
            <w:pPr>
              <w:pStyle w:val="TableContents"/>
              <w:bidi w:val="0"/>
              <w:spacing w:before="0" w:after="283"/>
              <w:jc w:val="right"/>
              <w:rPr/>
            </w:pPr>
            <w:r>
              <w:rPr/>
              <w:t>2,400</w:t>
            </w:r>
          </w:p>
        </w:tc>
        <w:tc>
          <w:tcPr>
            <w:tcW w:w="75" w:type="dxa"/>
            <w:tcBorders/>
            <w:shd w:fill="FFFFFF" w:val="clear"/>
            <w:tcMar>
              <w:bottom w:w="0" w:type="dxa"/>
            </w:tcMar>
            <w:vAlign w:val="center"/>
          </w:tcPr>
          <w:p>
            <w:pPr>
              <w:pStyle w:val="TableContents"/>
              <w:bidi w:val="0"/>
              <w:spacing w:before="0" w:after="283"/>
              <w:jc w:val="left"/>
              <w:rPr/>
            </w:pPr>
            <w:r>
              <w:rPr/>
              <w:t> </w:t>
            </w:r>
            <w:bookmarkStart w:id="1046" w:name="xdx_409_eus-gaap--GoodwillFairValueDiscl"/>
            <w:bookmarkEnd w:id="1046"/>
          </w:p>
        </w:tc>
      </w:tr>
      <w:tr>
        <w:trPr/>
        <w:tc>
          <w:tcPr>
            <w:tcW w:w="3215"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70,435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7" w:name="xdx_8A8_zGOzWGY9HtFh"/>
      <w:bookmarkEnd w:id="10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assets were measured at fair value at the acquisition date in connection with the acquisition of Streamex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8" w:name="xdx_891_eus-gaap--FairValueAssetsMeasure"/>
      <w:bookmarkEnd w:id="1048"/>
      <w:r>
        <w:rPr>
          <w:rFonts w:ascii="Times New Roman;Times;Serif" w:hAnsi="Times New Roman;Times;Serif"/>
          <w:b w:val="false"/>
          <w:i w:val="false"/>
          <w:caps w:val="false"/>
          <w:smallCaps w:val="false"/>
          <w:sz w:val="20"/>
        </w:rPr>
        <w:t>The significant unobservable inputs used in our level 3 fair value measurements during the year ended December 31, 2025 are as follows:</w:t>
      </w:r>
    </w:p>
    <w:p>
      <w:pPr>
        <w:pStyle w:val="TextBody"/>
        <w:bidi w:val="0"/>
        <w:spacing w:before="0" w:after="0"/>
        <w:ind w:left="0" w:right="0" w:hanging="0"/>
        <w:jc w:val="both"/>
        <w:rPr>
          <w:caps w:val="false"/>
          <w:smallCaps w:val="false"/>
        </w:rPr>
      </w:pPr>
      <w:r>
        <w:rPr>
          <w:caps w:val="false"/>
          <w:smallCaps w:val="false"/>
        </w:rPr>
        <w:t> </w:t>
      </w:r>
      <w:bookmarkStart w:id="1049" w:name="xdx_8B0_znDIuZTPtYA4"/>
      <w:bookmarkEnd w:id="1049"/>
      <w:r>
        <w:rPr>
          <w:rFonts w:ascii="Times New Roman;Times;Serif" w:hAnsi="Times New Roman;Times;Serif"/>
          <w:b w:val="false"/>
          <w:i w:val="false"/>
          <w:caps w:val="false"/>
          <w:smallCaps w:val="false"/>
          <w:sz w:val="20"/>
        </w:rPr>
        <w:t>SUMMARY OF UNOBSERVABLE INPUTS</w:t>
      </w:r>
    </w:p>
    <w:tbl>
      <w:tblPr>
        <w:tblW w:w="10205" w:type="dxa"/>
        <w:jc w:val="left"/>
        <w:tblInd w:w="0" w:type="dxa"/>
        <w:tblLayout w:type="fixed"/>
        <w:tblCellMar>
          <w:top w:w="0" w:type="dxa"/>
          <w:left w:w="0" w:type="dxa"/>
          <w:bottom w:w="28" w:type="dxa"/>
          <w:right w:w="0" w:type="dxa"/>
        </w:tblCellMar>
      </w:tblPr>
      <w:tblGrid>
        <w:gridCol w:w="1888"/>
        <w:gridCol w:w="60"/>
        <w:gridCol w:w="2873"/>
        <w:gridCol w:w="60"/>
        <w:gridCol w:w="2720"/>
        <w:gridCol w:w="60"/>
        <w:gridCol w:w="60"/>
        <w:gridCol w:w="2282"/>
        <w:gridCol w:w="202"/>
      </w:tblGrid>
      <w:tr>
        <w:trPr/>
        <w:tc>
          <w:tcPr>
            <w:tcW w:w="188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Techniques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 Inputs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c>
          <w:tcPr>
            <w:tcW w:w="2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Relief-from-Royalty Method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Royality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0" w:name="xdx_907_eus-gaap--InvestmentCompanyInves"/>
            <w:bookmarkEnd w:id="1050"/>
            <w:r>
              <w:rPr>
                <w:rFonts w:ascii="Times New Roman;Times;Serif" w:hAnsi="Times New Roman;Times;Serif"/>
                <w:b w:val="false"/>
                <w:i w:val="false"/>
                <w:caps w:val="false"/>
                <w:smallCaps w:val="false"/>
                <w:sz w:val="20"/>
              </w:rPr>
              <w:t>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1" w:name="xdx_90D_ecustom--RevenueGrowthRateDescri"/>
            <w:bookmarkEnd w:id="1051"/>
            <w:r>
              <w:rPr>
                <w:rFonts w:ascii="Times New Roman;Times;Serif" w:hAnsi="Times New Roman;Times;Serif"/>
                <w:b w:val="false"/>
                <w:i w:val="false"/>
                <w:caps w:val="false"/>
                <w:smallCaps w:val="false"/>
                <w:sz w:val="20"/>
              </w:rPr>
              <w:t>53% average through FY2030, 3% thereafter</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2" w:name="xdx_909_eus-gaap--InvestmentCompanyInves"/>
            <w:bookmarkEnd w:id="1052"/>
            <w:r>
              <w:rPr>
                <w:rFonts w:ascii="Times New Roman;Times;Serif" w:hAnsi="Times New Roman;Times;Serif"/>
                <w:b w:val="false"/>
                <w:i w:val="false"/>
                <w:caps w:val="false"/>
                <w:smallCaps w:val="false"/>
                <w:sz w:val="20"/>
              </w:rPr>
              <w:t>40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3" w:name="xdx_905_eus-gaap--InvestmentCompanyInves"/>
            <w:bookmarkEnd w:id="1053"/>
            <w:r>
              <w:rPr>
                <w:rFonts w:ascii="Times New Roman;Times;Serif" w:hAnsi="Times New Roman;Times;Serif"/>
                <w:b w:val="false"/>
                <w:i w:val="false"/>
                <w:caps w:val="false"/>
                <w:smallCaps w:val="false"/>
                <w:sz w:val="20"/>
              </w:rPr>
              <w:t>26</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amortization period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4" w:name="xdx_90E_eus-gaap--RegulatoryLiabilityAmo"/>
            <w:bookmarkEnd w:id="1054"/>
            <w:r>
              <w:rPr>
                <w:rFonts w:ascii="Times New Roman;Times;Serif" w:hAnsi="Times New Roman;Times;Serif"/>
                <w:b w:val="false"/>
                <w:i w:val="false"/>
                <w:caps w:val="false"/>
                <w:smallCaps w:val="false"/>
                <w:sz w:val="20"/>
              </w:rPr>
              <w:t>20 yrs</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Multi-Period Excess Earnings Method (MPEEM)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5" w:name="xdx_90D_eus-gaap--InvestmentCompanyInves"/>
            <w:bookmarkEnd w:id="1055"/>
            <w:r>
              <w:rPr>
                <w:rFonts w:ascii="Times New Roman;Times;Serif" w:hAnsi="Times New Roman;Times;Serif"/>
                <w:b w:val="false"/>
                <w:i w:val="false"/>
                <w:caps w:val="false"/>
                <w:smallCaps w:val="false"/>
                <w:sz w:val="20"/>
              </w:rPr>
              <w:t>1</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Rates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6" w:name="xdx_903_ecustom--RevenueGrowthRateDescri"/>
            <w:bookmarkEnd w:id="1056"/>
            <w:r>
              <w:rPr>
                <w:rFonts w:ascii="Times New Roman;Times;Serif" w:hAnsi="Times New Roman;Times;Serif"/>
                <w:b w:val="false"/>
                <w:i w:val="false"/>
                <w:caps w:val="false"/>
                <w:smallCaps w:val="false"/>
                <w:sz w:val="20"/>
              </w:rPr>
              <w:t>53% average through FY2030, 3% thereafter</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Growth Rates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7" w:name="xdx_90E_eus-gaap--InvestmentCompanyInves"/>
            <w:bookmarkEnd w:id="1057"/>
            <w:r>
              <w:rPr>
                <w:rFonts w:ascii="Times New Roman;Times;Serif" w:hAnsi="Times New Roman;Times;Serif"/>
                <w:b w:val="false"/>
                <w:i w:val="false"/>
                <w:caps w:val="false"/>
                <w:smallCaps w:val="false"/>
                <w:sz w:val="20"/>
              </w:rPr>
              <w:t xml:space="preserve">16% - </w:t>
            </w:r>
            <w:bookmarkStart w:id="1058" w:name="xdx_903_eus-gaap--InvestmentCompanyInves"/>
            <w:bookmarkEnd w:id="1058"/>
            <w:r>
              <w:rPr>
                <w:rFonts w:ascii="Times New Roman;Times;Serif" w:hAnsi="Times New Roman;Times;Serif"/>
                <w:b w:val="false"/>
                <w:i w:val="false"/>
                <w:caps w:val="false"/>
                <w:smallCaps w:val="false"/>
                <w:sz w:val="20"/>
              </w:rPr>
              <w:t>26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Contributory Assets’ Charge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59" w:name="xdx_905_eus-gaap--InvestmentCompanyInves"/>
            <w:bookmarkEnd w:id="1059"/>
            <w:r>
              <w:rPr>
                <w:rFonts w:ascii="Times New Roman;Times;Serif" w:hAnsi="Times New Roman;Times;Serif"/>
                <w:b w:val="false"/>
                <w:i w:val="false"/>
                <w:caps w:val="false"/>
                <w:smallCaps w:val="false"/>
                <w:sz w:val="20"/>
              </w:rPr>
              <w:t xml:space="preserve">17.1% - </w:t>
            </w:r>
            <w:bookmarkStart w:id="1060" w:name="xdx_903_eus-gaap--InvestmentCompanyInves"/>
            <w:bookmarkEnd w:id="1060"/>
            <w:r>
              <w:rPr>
                <w:rFonts w:ascii="Times New Roman;Times;Serif" w:hAnsi="Times New Roman;Times;Serif"/>
                <w:b w:val="false"/>
                <w:i w:val="false"/>
                <w:caps w:val="false"/>
                <w:smallCaps w:val="false"/>
                <w:sz w:val="20"/>
              </w:rPr>
              <w:t>193.6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Obsolescence Curve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Sigmoid curve over </w:t>
            </w:r>
            <w:bookmarkStart w:id="1061" w:name="xdx_90F_eus-gaap--RegulatoryLiabilityAmo"/>
            <w:bookmarkEnd w:id="1061"/>
            <w:r>
              <w:rPr>
                <w:rFonts w:ascii="Times New Roman;Times;Serif" w:hAnsi="Times New Roman;Times;Serif"/>
                <w:b w:val="false"/>
                <w:i w:val="false"/>
                <w:caps w:val="false"/>
                <w:smallCaps w:val="false"/>
                <w:sz w:val="20"/>
              </w:rPr>
              <w:t>8-year life</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Distributor EBIT margin for customer relationships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2" w:name="xdx_904_eus-gaap--InvestmentCompanyInves"/>
            <w:bookmarkEnd w:id="1062"/>
            <w:r>
              <w:rPr>
                <w:rFonts w:ascii="Times New Roman;Times;Serif" w:hAnsi="Times New Roman;Times;Serif"/>
                <w:b w:val="false"/>
                <w:i w:val="false"/>
                <w:caps w:val="false"/>
                <w:smallCaps w:val="false"/>
                <w:sz w:val="20"/>
              </w:rPr>
              <w:t>9</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3" w:name="xdx_905_eus-gaap--InvestmentCompanyInves"/>
            <w:bookmarkEnd w:id="1063"/>
            <w:r>
              <w:rPr>
                <w:rFonts w:ascii="Times New Roman;Times;Serif" w:hAnsi="Times New Roman;Times;Serif"/>
                <w:b w:val="false"/>
                <w:i w:val="false"/>
                <w:caps w:val="false"/>
                <w:smallCaps w:val="false"/>
                <w:sz w:val="20"/>
              </w:rPr>
              <w:t>40</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4" w:name="xdx_903_eus-gaap--InvestmentCompanyInves"/>
            <w:bookmarkEnd w:id="1064"/>
            <w:r>
              <w:rPr>
                <w:rFonts w:ascii="Times New Roman;Times;Serif" w:hAnsi="Times New Roman;Times;Serif"/>
                <w:b w:val="false"/>
                <w:i w:val="false"/>
                <w:caps w:val="false"/>
                <w:smallCaps w:val="false"/>
                <w:sz w:val="20"/>
              </w:rPr>
              <w:t>26</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amortization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5" w:name="xdx_905_eus-gaap--RegulatoryLiabilityAmo"/>
            <w:bookmarkEnd w:id="1065"/>
            <w:r>
              <w:rPr>
                <w:rFonts w:ascii="Times New Roman;Times;Serif" w:hAnsi="Times New Roman;Times;Serif"/>
                <w:b w:val="false"/>
                <w:i w:val="false"/>
                <w:caps w:val="false"/>
                <w:smallCaps w:val="false"/>
                <w:sz w:val="20"/>
              </w:rPr>
              <w:t>20 yrs</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Approach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cost growth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6" w:name="xdx_907_eus-gaap--InvestmentCompanyInves"/>
            <w:bookmarkEnd w:id="1066"/>
            <w:r>
              <w:rPr>
                <w:rFonts w:ascii="Times New Roman;Times;Serif" w:hAnsi="Times New Roman;Times;Serif"/>
                <w:b w:val="false"/>
                <w:i w:val="false"/>
                <w:caps w:val="false"/>
                <w:smallCaps w:val="false"/>
                <w:sz w:val="20"/>
              </w:rPr>
              <w:t>3</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 Ex Rates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7" w:name="xdx_907_eus-gaap--InvestmentCompanyInves"/>
            <w:bookmarkEnd w:id="1067"/>
            <w:r>
              <w:rPr>
                <w:rFonts w:ascii="Times New Roman;Times;Serif" w:hAnsi="Times New Roman;Times;Serif"/>
                <w:b w:val="false"/>
                <w:i w:val="false"/>
                <w:caps w:val="false"/>
                <w:smallCaps w:val="false"/>
                <w:sz w:val="20"/>
              </w:rPr>
              <w:t>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Contributory Assets Rates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8" w:name="xdx_904_eus-gaap--InvestmentCompanyInves"/>
            <w:bookmarkEnd w:id="1068"/>
            <w:r>
              <w:rPr>
                <w:rFonts w:ascii="Times New Roman;Times;Serif" w:hAnsi="Times New Roman;Times;Serif"/>
                <w:b w:val="false"/>
                <w:i w:val="false"/>
                <w:caps w:val="false"/>
                <w:smallCaps w:val="false"/>
                <w:sz w:val="20"/>
              </w:rPr>
              <w:t>40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tax rate of return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9" w:name="xdx_903_eus-gaap--InvestmentCompanyInves"/>
            <w:bookmarkEnd w:id="1069"/>
            <w:r>
              <w:rPr>
                <w:rFonts w:ascii="Times New Roman;Times;Serif" w:hAnsi="Times New Roman;Times;Serif"/>
                <w:b w:val="false"/>
                <w:i w:val="false"/>
                <w:caps w:val="false"/>
                <w:smallCaps w:val="false"/>
                <w:sz w:val="20"/>
              </w:rPr>
              <w:t>40</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3"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life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70" w:name="xdx_905_eus-gaap--RegulatoryLiabilityAmo"/>
            <w:bookmarkEnd w:id="1070"/>
            <w:r>
              <w:rPr>
                <w:rFonts w:ascii="Times New Roman;Times;Serif" w:hAnsi="Times New Roman;Times;Serif"/>
                <w:b w:val="false"/>
                <w:i w:val="false"/>
                <w:caps w:val="false"/>
                <w:smallCaps w:val="false"/>
                <w:sz w:val="20"/>
              </w:rPr>
              <w:t>7 yrs</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071" w:name="xdx_8A9_zd5aOVQJKaRd"/>
      <w:bookmarkEnd w:id="10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Shares – Derivative Liability (Level 3)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acquisition of Streamex Exchange on May 28, 2025, Streamex Corp. issued </w:t>
      </w:r>
      <w:bookmarkStart w:id="1072" w:name="xdx_90B_eus-gaap--SaleOfStockNumberOfSha"/>
      <w:bookmarkEnd w:id="1072"/>
      <w:r>
        <w:rPr>
          <w:rFonts w:ascii="Times New Roman;Times;Serif" w:hAnsi="Times New Roman;Times;Serif"/>
          <w:b w:val="false"/>
          <w:i w:val="false"/>
          <w:caps w:val="false"/>
          <w:smallCaps w:val="false"/>
          <w:sz w:val="20"/>
        </w:rPr>
        <w:t xml:space="preserve">109,070,039 Exchangeable Shares through its wholly-owned subsidiary, ExchangeCo, as purchase consideration. </w:t>
      </w:r>
      <w:bookmarkStart w:id="1073" w:name="xdx_908_eus-gaap--ConversionOfStockDescr"/>
      <w:bookmarkEnd w:id="1073"/>
      <w:r>
        <w:rPr>
          <w:rFonts w:ascii="Times New Roman;Times;Serif" w:hAnsi="Times New Roman;Times;Serif"/>
          <w:b w:val="false"/>
          <w:i w:val="false"/>
          <w:caps w:val="false"/>
          <w:smallCaps w:val="false"/>
          <w:sz w:val="20"/>
        </w:rPr>
        <w:t>The Exchangeable Shares are convertible into the Company’s common stock on a 1:1 basis, subject to a 1.25:1 adjustment if shareholder approval was not obtained within six months. As of the acquisition date, the Exchangeable Shares were not exchangeable into more than 19.9% of the Company’s outstanding common stock, pending shareholder approval, and therefore were classified as a derivative liability and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initial recognition, the Company estimated the fair value of the Exchangeable Shares derivative liability using a discounted cash flow method and a market capitalization reconciliation, which incorporated significant unobservable inputs including: a discount rate of </w:t>
      </w:r>
      <w:bookmarkStart w:id="1074" w:name="xdx_906_eus-gaap--InvestmentCompanyInves"/>
      <w:bookmarkEnd w:id="1074"/>
      <w:r>
        <w:rPr>
          <w:rFonts w:ascii="Times New Roman;Times;Serif" w:hAnsi="Times New Roman;Times;Serif"/>
          <w:b w:val="false"/>
          <w:i w:val="false"/>
          <w:caps w:val="false"/>
          <w:smallCaps w:val="false"/>
          <w:sz w:val="20"/>
        </w:rPr>
        <w:t xml:space="preserve">40.0%, terminal growth rate of </w:t>
      </w:r>
      <w:bookmarkStart w:id="1075" w:name="xdx_900_eus-gaap--InvestmentCompanyInves"/>
      <w:bookmarkEnd w:id="1075"/>
      <w:r>
        <w:rPr>
          <w:rFonts w:ascii="Times New Roman;Times;Serif" w:hAnsi="Times New Roman;Times;Serif"/>
          <w:b w:val="false"/>
          <w:i w:val="false"/>
          <w:caps w:val="false"/>
          <w:smallCaps w:val="false"/>
          <w:sz w:val="20"/>
        </w:rPr>
        <w:t xml:space="preserve">3.0%, capitalization rate of </w:t>
      </w:r>
      <w:bookmarkStart w:id="1076" w:name="xdx_903_eus-gaap--InvestmentCompanyInves"/>
      <w:bookmarkEnd w:id="1076"/>
      <w:r>
        <w:rPr>
          <w:rFonts w:ascii="Times New Roman;Times;Serif" w:hAnsi="Times New Roman;Times;Serif"/>
          <w:b w:val="false"/>
          <w:i w:val="false"/>
          <w:caps w:val="false"/>
          <w:smallCaps w:val="false"/>
          <w:sz w:val="20"/>
        </w:rPr>
        <w:t xml:space="preserve">37.0%, revenue growth rate of </w:t>
      </w:r>
      <w:bookmarkStart w:id="1077" w:name="xdx_90A_ecustom--RevenueGrowthRateDescri"/>
      <w:bookmarkEnd w:id="1077"/>
      <w:r>
        <w:rPr>
          <w:rFonts w:ascii="Times New Roman;Times;Serif" w:hAnsi="Times New Roman;Times;Serif"/>
          <w:b w:val="false"/>
          <w:i w:val="false"/>
          <w:caps w:val="false"/>
          <w:smallCaps w:val="false"/>
          <w:sz w:val="20"/>
        </w:rPr>
        <w:t xml:space="preserve">53% average annual growth through FY2030 (3% thereafter), expense rate of approximately </w:t>
      </w:r>
      <w:bookmarkStart w:id="1078" w:name="xdx_903_eus-gaap--InvestmentCompanyInves"/>
      <w:bookmarkEnd w:id="1078"/>
      <w:r>
        <w:rPr>
          <w:rFonts w:ascii="Times New Roman;Times;Serif" w:hAnsi="Times New Roman;Times;Serif"/>
          <w:b w:val="false"/>
          <w:i w:val="false"/>
          <w:caps w:val="false"/>
          <w:smallCaps w:val="false"/>
          <w:sz w:val="20"/>
        </w:rPr>
        <w:t xml:space="preserve">16% to </w:t>
      </w:r>
      <w:bookmarkStart w:id="1079" w:name="xdx_90B_eus-gaap--InvestmentCompanyInves"/>
      <w:bookmarkEnd w:id="1079"/>
      <w:r>
        <w:rPr>
          <w:rFonts w:ascii="Times New Roman;Times;Serif" w:hAnsi="Times New Roman;Times;Serif"/>
          <w:b w:val="false"/>
          <w:i w:val="false"/>
          <w:caps w:val="false"/>
          <w:smallCaps w:val="false"/>
          <w:sz w:val="20"/>
        </w:rPr>
        <w:t xml:space="preserve">26% of tokenization revenue, capital expenditure rate of </w:t>
      </w:r>
      <w:bookmarkStart w:id="1080" w:name="xdx_902_eus-gaap--InvestmentCompanyInves"/>
      <w:bookmarkEnd w:id="1080"/>
      <w:r>
        <w:rPr>
          <w:rFonts w:ascii="Times New Roman;Times;Serif" w:hAnsi="Times New Roman;Times;Serif"/>
          <w:b w:val="false"/>
          <w:i w:val="false"/>
          <w:caps w:val="false"/>
          <w:smallCaps w:val="false"/>
          <w:sz w:val="20"/>
        </w:rPr>
        <w:t xml:space="preserve">1% of revenue, and income tax rate of </w:t>
      </w:r>
      <w:bookmarkStart w:id="1081" w:name="xdx_905_eus-gaap--InvestmentCompanyInves"/>
      <w:bookmarkEnd w:id="1081"/>
      <w:r>
        <w:rPr>
          <w:rFonts w:ascii="Times New Roman;Times;Serif" w:hAnsi="Times New Roman;Times;Serif"/>
          <w:b w:val="false"/>
          <w:i w:val="false"/>
          <w:caps w:val="false"/>
          <w:smallCaps w:val="false"/>
          <w:sz w:val="20"/>
        </w:rPr>
        <w:t>26%. The resulting fair value conclusion was $</w:t>
      </w:r>
      <w:bookmarkStart w:id="1082" w:name="xdx_90F_ecustom--FairValueExchangeableSh"/>
      <w:bookmarkEnd w:id="1082"/>
      <w:r>
        <w:rPr>
          <w:rFonts w:ascii="Times New Roman;Times;Serif" w:hAnsi="Times New Roman;Times;Serif"/>
          <w:b w:val="false"/>
          <w:i w:val="false"/>
          <w:caps w:val="false"/>
          <w:smallCaps w:val="false"/>
          <w:sz w:val="20"/>
        </w:rPr>
        <w:t>105.5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obtained shareholder approval, which removed the conversion cap and allowed holders to exchange the Exchangeable Shares into the Company’s common stock in accordance with the exchange rights. Upon satisfaction of the shareholder approval condition and removal of the NASDAQ 19.99% limitation, the Exchangeable Shares no longer contained an exercise contingency that precluded equity classification. Accordingly, on November 4, 2025, the Company reclassified the derivative liability associated with the Exchangeable Shares to permanent equity. After reclassification, the Exchangeable Shares are no longer remeasured at fair value through earnings. Upon shareholder approval on November 4, 2025, observable market information became available, and the Company’s valuation approach incorporated Level 1 inputs based on the Company’s publicly traded share price as of that date. Refer to Note 7, Stockholder Equity, Note 11, Business Acquisition, and Note 12, Fair Value Measurements for more information. For an overview of the Company’s derivative financial instruments and related disclosures required by ASC 815, see Note 17, Derivative Financial Instruments and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non-cash loss of approximately $</w:t>
      </w:r>
      <w:bookmarkStart w:id="1083" w:name="xdx_90B_eus-gaap--DerivativeAssetsLiabil"/>
      <w:bookmarkEnd w:id="1083"/>
      <w:r>
        <w:rPr>
          <w:rFonts w:ascii="Times New Roman;Times;Serif" w:hAnsi="Times New Roman;Times;Serif"/>
          <w:b w:val="false"/>
          <w:i w:val="false"/>
          <w:caps w:val="false"/>
          <w:smallCaps w:val="false"/>
          <w:sz w:val="20"/>
        </w:rPr>
        <w:t>389.7 million during the year ended December 31, 2025 related to changes in the fair value of warrant derivative liabilities prior to their reclassification to equity on November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1084" w:name="xdx_894_eus-gaap--FairValueNetDerivative"/>
      <w:bookmarkEnd w:id="1084"/>
      <w:r>
        <w:rPr>
          <w:rFonts w:ascii="Times New Roman;Times;Serif" w:hAnsi="Times New Roman;Times;Serif"/>
          <w:b w:val="false"/>
          <w:i/>
          <w:caps w:val="false"/>
          <w:smallCaps w:val="false"/>
          <w:sz w:val="20"/>
        </w:rPr>
        <w:t>Rollforward of Exchangeable Shares Derivative Liability (Level 3) (in thousands):</w:t>
      </w:r>
    </w:p>
    <w:p>
      <w:pPr>
        <w:pStyle w:val="TextBody"/>
        <w:bidi w:val="0"/>
        <w:spacing w:before="0" w:after="0"/>
        <w:ind w:left="0" w:right="0" w:hanging="0"/>
        <w:jc w:val="both"/>
        <w:rPr>
          <w:caps w:val="false"/>
          <w:smallCaps w:val="false"/>
        </w:rPr>
      </w:pPr>
      <w:r>
        <w:rPr>
          <w:caps w:val="false"/>
          <w:smallCaps w:val="false"/>
        </w:rPr>
        <w:t> </w:t>
      </w:r>
      <w:bookmarkStart w:id="1085" w:name="xdx_8B8_zv63dgid8Cbd"/>
      <w:bookmarkEnd w:id="1085"/>
      <w:r>
        <w:rPr>
          <w:rFonts w:ascii="Times New Roman;Times;Serif" w:hAnsi="Times New Roman;Times;Serif"/>
          <w:b w:val="false"/>
          <w:i w:val="false"/>
          <w:caps w:val="false"/>
          <w:smallCaps w:val="false"/>
          <w:sz w:val="20"/>
        </w:rPr>
        <w:t>SUMMARY OF FAIR VALUE MEASUREMENTS DERIVATIVE LIABILITY</w:t>
      </w:r>
    </w:p>
    <w:tbl>
      <w:tblPr>
        <w:tblW w:w="5390" w:type="dxa"/>
        <w:jc w:val="left"/>
        <w:tblInd w:w="0" w:type="dxa"/>
        <w:tblLayout w:type="fixed"/>
        <w:tblCellMar>
          <w:top w:w="0" w:type="dxa"/>
          <w:left w:w="0" w:type="dxa"/>
          <w:bottom w:w="0" w:type="dxa"/>
          <w:right w:w="0" w:type="dxa"/>
        </w:tblCellMar>
      </w:tblPr>
      <w:tblGrid>
        <w:gridCol w:w="4205"/>
        <w:gridCol w:w="60"/>
        <w:gridCol w:w="140"/>
        <w:gridCol w:w="875"/>
        <w:gridCol w:w="110"/>
      </w:tblGrid>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86" w:name="xdx_498_20250528__20251231__us-gaap--Fai"/>
            <w:bookmarkEnd w:id="1086"/>
          </w:p>
        </w:tc>
        <w:tc>
          <w:tcPr>
            <w:tcW w:w="1015"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10" w:type="dxa"/>
            <w:tcBorders/>
            <w:vAlign w:val="center"/>
          </w:tcPr>
          <w:p>
            <w:pPr>
              <w:pStyle w:val="TableContents"/>
              <w:bidi w:val="0"/>
              <w:spacing w:before="0" w:after="283"/>
              <w:jc w:val="left"/>
              <w:rPr/>
            </w:pPr>
            <w:r>
              <w:rPr/>
              <w:t> </w:t>
            </w:r>
            <w:bookmarkStart w:id="1087" w:name="xdx_40B_eus-gaap--FairValueNetDerivative"/>
            <w:bookmarkEnd w:id="1087"/>
          </w:p>
        </w:tc>
      </w:tr>
      <w:tr>
        <w:trPr/>
        <w:tc>
          <w:tcPr>
            <w:tcW w:w="4205" w:type="dxa"/>
            <w:tcBorders/>
            <w:shd w:fill="CCEEFF" w:val="clear"/>
            <w:vAlign w:val="center"/>
          </w:tcPr>
          <w:p>
            <w:pPr>
              <w:pStyle w:val="TableContents"/>
              <w:bidi w:val="0"/>
              <w:spacing w:before="0" w:after="283"/>
              <w:jc w:val="left"/>
              <w:rPr/>
            </w:pPr>
            <w:r>
              <w:rPr/>
              <w:t>Initial recognition (May 28,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105,498</w:t>
            </w:r>
          </w:p>
        </w:tc>
        <w:tc>
          <w:tcPr>
            <w:tcW w:w="110" w:type="dxa"/>
            <w:tcBorders/>
            <w:shd w:fill="CCEEFF" w:val="clear"/>
            <w:vAlign w:val="center"/>
          </w:tcPr>
          <w:p>
            <w:pPr>
              <w:pStyle w:val="TableContents"/>
              <w:bidi w:val="0"/>
              <w:spacing w:before="0" w:after="283"/>
              <w:jc w:val="left"/>
              <w:rPr/>
            </w:pPr>
            <w:r>
              <w:rPr/>
              <w:t> </w:t>
            </w:r>
            <w:bookmarkStart w:id="1088" w:name="xdx_404_ecustom--ChangeInFairValueOfDeri"/>
            <w:bookmarkEnd w:id="1088"/>
          </w:p>
        </w:tc>
      </w:tr>
      <w:tr>
        <w:trPr/>
        <w:tc>
          <w:tcPr>
            <w:tcW w:w="4205" w:type="dxa"/>
            <w:tcBorders/>
            <w:shd w:fill="FFFFFF" w:val="clear"/>
            <w:vAlign w:val="center"/>
          </w:tcPr>
          <w:p>
            <w:pPr>
              <w:pStyle w:val="TableContents"/>
              <w:bidi w:val="0"/>
              <w:spacing w:before="0" w:after="283"/>
              <w:jc w:val="left"/>
              <w:rPr/>
            </w:pPr>
            <w:r>
              <w:rPr/>
              <w:t>Change in fair value through reclassification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389,680</w:t>
            </w:r>
          </w:p>
        </w:tc>
        <w:tc>
          <w:tcPr>
            <w:tcW w:w="110" w:type="dxa"/>
            <w:tcBorders/>
            <w:shd w:fill="FFFFFF" w:val="clear"/>
            <w:vAlign w:val="center"/>
          </w:tcPr>
          <w:p>
            <w:pPr>
              <w:pStyle w:val="TableContents"/>
              <w:bidi w:val="0"/>
              <w:spacing w:before="0" w:after="283"/>
              <w:jc w:val="left"/>
              <w:rPr/>
            </w:pPr>
            <w:r>
              <w:rPr/>
              <w:t> </w:t>
            </w:r>
            <w:bookmarkStart w:id="1089" w:name="xdx_40D_ecustom--ReclassificationToPerma"/>
            <w:bookmarkEnd w:id="1089"/>
          </w:p>
        </w:tc>
      </w:tr>
      <w:tr>
        <w:trPr/>
        <w:tc>
          <w:tcPr>
            <w:tcW w:w="4205" w:type="dxa"/>
            <w:tcBorders/>
            <w:shd w:fill="CCEEFF" w:val="clear"/>
            <w:vAlign w:val="center"/>
          </w:tcPr>
          <w:p>
            <w:pPr>
              <w:pStyle w:val="TableContents"/>
              <w:bidi w:val="0"/>
              <w:spacing w:before="0" w:after="283"/>
              <w:jc w:val="left"/>
              <w:rPr/>
            </w:pPr>
            <w:r>
              <w:rPr/>
              <w:t>Reclassification to permanent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(498,178</w:t>
            </w:r>
          </w:p>
        </w:tc>
        <w:tc>
          <w:tcPr>
            <w:tcW w:w="110" w:type="dxa"/>
            <w:tcBorders/>
            <w:shd w:fill="CCEEFF" w:val="clear"/>
            <w:vAlign w:val="center"/>
          </w:tcPr>
          <w:p>
            <w:pPr>
              <w:pStyle w:val="TableContents"/>
              <w:bidi w:val="0"/>
              <w:spacing w:before="0" w:after="283"/>
              <w:jc w:val="left"/>
              <w:rPr/>
            </w:pPr>
            <w:r>
              <w:rPr/>
              <w:t>)</w:t>
            </w:r>
            <w:bookmarkStart w:id="1090" w:name="xdx_401_eus-gaap--FairValueNetDerivative"/>
            <w:bookmarkEnd w:id="1090"/>
          </w:p>
        </w:tc>
      </w:tr>
      <w:tr>
        <w:trPr/>
        <w:tc>
          <w:tcPr>
            <w:tcW w:w="4205" w:type="dxa"/>
            <w:tcBorders/>
            <w:shd w:fill="FFFFFF" w:val="clear"/>
            <w:vAlign w:val="center"/>
          </w:tcPr>
          <w:p>
            <w:pPr>
              <w:pStyle w:val="TableContents"/>
              <w:bidi w:val="0"/>
              <w:spacing w:before="0" w:after="283"/>
              <w:jc w:val="left"/>
              <w:rPr/>
            </w:pPr>
            <w:r>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91" w:name="xdx_8AE_zPz0RoflbUB"/>
      <w:bookmarkEnd w:id="109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Liabilities – Recurring Fair Value Measurements (Embedded Conversion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embedded conversion options associated with the Company’s secured convertible debentures were bifurcated and accounted for as derivative liabilities under ASC 815. The derivative liabilities were measured at fair value upon issuance of each debenture tranche (November 4, 2025 and December 17, 2025) and subsequently remeasured at fair value on a recurring basis. See Note 15.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embedded conversion options using a Monte Carlo simulation model within a “with-and-without” framework, which isolates the value of the holder’s conversion option by comparing the fair value of the debentures with and without the embedded conversion feature. The Monte Carlo model was designed to capture the path-dependent and non-linear features of the conversion option, including variable conversion pricing, contractual floor prices, amortization mechanics, optional prepayment features, and management’s expectations regarding conversion and repayment behavior. Because the valuation utilized significant unobservable inputs, the derivative liabilities were classified as Level 3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92" w:name="xdx_896_ecustom--ScheduleOfEffectOfSigni"/>
      <w:bookmarkEnd w:id="1092"/>
      <w:r>
        <w:rPr>
          <w:rFonts w:ascii="Times New Roman;Times;Serif" w:hAnsi="Times New Roman;Times;Serif"/>
          <w:b w:val="false"/>
          <w:i w:val="false"/>
          <w:caps w:val="false"/>
          <w:smallCaps w:val="false"/>
          <w:sz w:val="20"/>
        </w:rPr>
        <w:t>Significant unobservable inputs used in the Level 3 valuations were as follows:</w:t>
      </w:r>
    </w:p>
    <w:p>
      <w:pPr>
        <w:pStyle w:val="TextBody"/>
        <w:bidi w:val="0"/>
        <w:spacing w:before="0" w:after="0"/>
        <w:ind w:left="0" w:right="0" w:hanging="0"/>
        <w:jc w:val="both"/>
        <w:rPr>
          <w:caps w:val="false"/>
          <w:smallCaps w:val="false"/>
        </w:rPr>
      </w:pPr>
      <w:r>
        <w:rPr>
          <w:caps w:val="false"/>
          <w:smallCaps w:val="false"/>
        </w:rPr>
        <w:t> </w:t>
      </w:r>
      <w:bookmarkStart w:id="1093" w:name="xdx_8BA_zLn7AMRje0R"/>
      <w:bookmarkEnd w:id="1093"/>
      <w:r>
        <w:rPr>
          <w:rFonts w:ascii="Times New Roman;Times;Serif" w:hAnsi="Times New Roman;Times;Serif"/>
          <w:b w:val="false"/>
          <w:i w:val="false"/>
          <w:caps w:val="false"/>
          <w:smallCaps w:val="false"/>
          <w:sz w:val="20"/>
        </w:rPr>
        <w:t>SCHEDULE OF UNOBSERVABLE INPUT</w:t>
      </w:r>
    </w:p>
    <w:tbl>
      <w:tblPr>
        <w:tblW w:w="7248" w:type="dxa"/>
        <w:jc w:val="left"/>
        <w:tblInd w:w="0" w:type="dxa"/>
        <w:tblLayout w:type="fixed"/>
        <w:tblCellMar>
          <w:top w:w="0" w:type="dxa"/>
          <w:left w:w="0" w:type="dxa"/>
          <w:bottom w:w="28" w:type="dxa"/>
          <w:right w:w="0" w:type="dxa"/>
        </w:tblCellMar>
      </w:tblPr>
      <w:tblGrid>
        <w:gridCol w:w="2660"/>
        <w:gridCol w:w="60"/>
        <w:gridCol w:w="94"/>
        <w:gridCol w:w="885"/>
        <w:gridCol w:w="215"/>
        <w:gridCol w:w="60"/>
        <w:gridCol w:w="106"/>
        <w:gridCol w:w="993"/>
        <w:gridCol w:w="215"/>
        <w:gridCol w:w="60"/>
        <w:gridCol w:w="161"/>
        <w:gridCol w:w="1509"/>
        <w:gridCol w:w="230"/>
      </w:tblGrid>
      <w:tr>
        <w:trPr/>
        <w:tc>
          <w:tcPr>
            <w:tcW w:w="2660" w:type="dxa"/>
            <w:tcBorders>
              <w:bottom w:val="single" w:sz="8" w:space="0" w:color="000000"/>
            </w:tcBorders>
            <w:vAlign w:val="center"/>
          </w:tcPr>
          <w:p>
            <w:pPr>
              <w:pStyle w:val="TableContents"/>
              <w:bidi w:val="0"/>
              <w:spacing w:before="0" w:after="283"/>
              <w:jc w:val="center"/>
              <w:rPr>
                <w:b/>
              </w:rPr>
            </w:pPr>
            <w:r>
              <w:rPr>
                <w:b/>
              </w:rPr>
              <w:t>Unobservable Inputs</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8" w:space="0" w:color="000000"/>
            </w:tcBorders>
            <w:vAlign w:val="center"/>
          </w:tcPr>
          <w:p>
            <w:pPr>
              <w:pStyle w:val="TableContents"/>
              <w:bidi w:val="0"/>
              <w:jc w:val="center"/>
              <w:rPr>
                <w:b/>
              </w:rPr>
            </w:pPr>
            <w:r>
              <w:rPr>
                <w:b/>
              </w:rPr>
              <w:t>11/4/2025</w:t>
            </w:r>
          </w:p>
          <w:p>
            <w:pPr>
              <w:pStyle w:val="TableContents"/>
              <w:bidi w:val="0"/>
              <w:spacing w:before="0" w:after="283"/>
              <w:jc w:val="center"/>
              <w:rPr>
                <w:b/>
              </w:rPr>
            </w:pPr>
            <w:r>
              <w:rPr>
                <w:b/>
              </w:rPr>
              <w:t>Issuance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jc w:val="center"/>
              <w:rPr>
                <w:b/>
              </w:rPr>
            </w:pPr>
            <w:r>
              <w:rPr>
                <w:b/>
              </w:rPr>
              <w:t>12/17/2025</w:t>
            </w:r>
          </w:p>
          <w:p>
            <w:pPr>
              <w:pStyle w:val="TableContents"/>
              <w:bidi w:val="0"/>
              <w:spacing w:before="0" w:after="283"/>
              <w:jc w:val="center"/>
              <w:rPr>
                <w:b/>
              </w:rPr>
            </w:pPr>
            <w:r>
              <w:rPr>
                <w:b/>
              </w:rPr>
              <w:t>Issuance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2"/>
            <w:tcBorders>
              <w:bottom w:val="single" w:sz="8" w:space="0" w:color="000000"/>
            </w:tcBorders>
            <w:vAlign w:val="center"/>
          </w:tcPr>
          <w:p>
            <w:pPr>
              <w:pStyle w:val="TableContents"/>
              <w:bidi w:val="0"/>
              <w:jc w:val="center"/>
              <w:rPr>
                <w:b/>
              </w:rPr>
            </w:pPr>
            <w:r>
              <w:rPr>
                <w:b/>
              </w:rPr>
              <w:t>12/31/2025</w:t>
            </w:r>
          </w:p>
          <w:p>
            <w:pPr>
              <w:pStyle w:val="TableContents"/>
              <w:bidi w:val="0"/>
              <w:spacing w:before="0" w:after="283"/>
              <w:jc w:val="center"/>
              <w:rPr>
                <w:b/>
              </w:rPr>
            </w:pPr>
            <w:r>
              <w:rPr>
                <w:b/>
              </w:rPr>
              <w:t>Remeasurement</w:t>
            </w:r>
          </w:p>
        </w:tc>
        <w:tc>
          <w:tcPr>
            <w:tcW w:w="230" w:type="dxa"/>
            <w:tcBorders/>
            <w:tcMar>
              <w:bottom w:w="0" w:type="dxa"/>
            </w:tcMar>
            <w:vAlign w:val="center"/>
          </w:tcPr>
          <w:p>
            <w:pPr>
              <w:pStyle w:val="TableContents"/>
              <w:bidi w:val="0"/>
              <w:spacing w:before="0" w:after="283"/>
              <w:jc w:val="left"/>
              <w:rPr/>
            </w:pPr>
            <w:r>
              <w:rPr/>
              <w:t> </w:t>
            </w:r>
          </w:p>
        </w:tc>
      </w:tr>
      <w:tr>
        <w:trPr/>
        <w:tc>
          <w:tcPr>
            <w:tcW w:w="2660" w:type="dxa"/>
            <w:tcBorders/>
            <w:shd w:fill="CCEEFF" w:val="clear"/>
            <w:tcMar>
              <w:bottom w:w="0" w:type="dxa"/>
            </w:tcMar>
            <w:vAlign w:val="center"/>
          </w:tcPr>
          <w:p>
            <w:pPr>
              <w:pStyle w:val="TableContents"/>
              <w:bidi w:val="0"/>
              <w:spacing w:before="0" w:after="283"/>
              <w:jc w:val="both"/>
              <w:rPr/>
            </w:pPr>
            <w:r>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bookmarkStart w:id="1094" w:name="xdx_909_eus-gaap--DerivativeLiabilityMea"/>
            <w:bookmarkEnd w:id="1094"/>
            <w:r>
              <w:rPr/>
              <w:t>130.0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bookmarkStart w:id="1095" w:name="xdx_90A_eus-gaap--DerivativeLiabilityMea"/>
            <w:bookmarkEnd w:id="1095"/>
            <w:r>
              <w:rPr/>
              <w:t>125.0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509" w:type="dxa"/>
            <w:tcBorders/>
            <w:shd w:fill="CCEEFF" w:val="clear"/>
            <w:tcMar>
              <w:bottom w:w="0" w:type="dxa"/>
            </w:tcMar>
            <w:vAlign w:val="center"/>
          </w:tcPr>
          <w:p>
            <w:pPr>
              <w:pStyle w:val="TableContents"/>
              <w:bidi w:val="0"/>
              <w:spacing w:before="0" w:after="283"/>
              <w:jc w:val="right"/>
              <w:rPr/>
            </w:pPr>
            <w:bookmarkStart w:id="1096" w:name="xdx_908_eus-gaap--DerivativeLiabilityMea"/>
            <w:bookmarkEnd w:id="1096"/>
            <w:r>
              <w:rPr/>
              <w:t>130.0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660" w:type="dxa"/>
            <w:tcBorders/>
            <w:shd w:fill="FFFFFF" w:val="clear"/>
            <w:tcMar>
              <w:bottom w:w="0" w:type="dxa"/>
            </w:tcMar>
            <w:vAlign w:val="center"/>
          </w:tcPr>
          <w:p>
            <w:pPr>
              <w:pStyle w:val="TableContents"/>
              <w:bidi w:val="0"/>
              <w:spacing w:before="0" w:after="283"/>
              <w:jc w:val="both"/>
              <w:rPr/>
            </w:pPr>
            <w:r>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pPr>
            <w:bookmarkStart w:id="1097" w:name="xdx_907_eus-gaap--DerivativeLiabilityMea"/>
            <w:bookmarkEnd w:id="1097"/>
            <w:r>
              <w:rPr/>
              <w:t>3.6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bookmarkStart w:id="1098" w:name="xdx_907_eus-gaap--DerivativeLiabilityMea"/>
            <w:bookmarkEnd w:id="1098"/>
            <w:r>
              <w:rPr/>
              <w:t>3.5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509" w:type="dxa"/>
            <w:tcBorders/>
            <w:shd w:fill="FFFFFF" w:val="clear"/>
            <w:tcMar>
              <w:bottom w:w="0" w:type="dxa"/>
            </w:tcMar>
            <w:vAlign w:val="center"/>
          </w:tcPr>
          <w:p>
            <w:pPr>
              <w:pStyle w:val="TableContents"/>
              <w:bidi w:val="0"/>
              <w:spacing w:before="0" w:after="283"/>
              <w:jc w:val="right"/>
              <w:rPr/>
            </w:pPr>
            <w:bookmarkStart w:id="1099" w:name="xdx_905_eus-gaap--DerivativeLiabilityMea"/>
            <w:bookmarkEnd w:id="1099"/>
            <w:r>
              <w:rPr/>
              <w:t>3.5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660" w:type="dxa"/>
            <w:tcBorders/>
            <w:shd w:fill="CCEEFF" w:val="clear"/>
            <w:tcMar>
              <w:bottom w:w="0" w:type="dxa"/>
            </w:tcMar>
            <w:vAlign w:val="center"/>
          </w:tcPr>
          <w:p>
            <w:pPr>
              <w:pStyle w:val="TableContents"/>
              <w:bidi w:val="0"/>
              <w:spacing w:before="0" w:after="283"/>
              <w:jc w:val="both"/>
              <w:rPr/>
            </w:pPr>
            <w:r>
              <w:rPr/>
              <w:t>Credit spread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bookmarkStart w:id="1100" w:name="xdx_904_eus-gaap--DerivativeLiabilityMea"/>
            <w:bookmarkEnd w:id="1100"/>
            <w:r>
              <w:rPr/>
              <w:t>9.0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bookmarkStart w:id="1101" w:name="xdx_901_eus-gaap--DerivativeLiabilityMea"/>
            <w:bookmarkEnd w:id="1101"/>
            <w:r>
              <w:rPr/>
              <w:t>8.9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509" w:type="dxa"/>
            <w:tcBorders/>
            <w:shd w:fill="CCEEFF" w:val="clear"/>
            <w:tcMar>
              <w:bottom w:w="0" w:type="dxa"/>
            </w:tcMar>
            <w:vAlign w:val="center"/>
          </w:tcPr>
          <w:p>
            <w:pPr>
              <w:pStyle w:val="TableContents"/>
              <w:bidi w:val="0"/>
              <w:spacing w:before="0" w:after="283"/>
              <w:jc w:val="right"/>
              <w:rPr/>
            </w:pPr>
            <w:bookmarkStart w:id="1102" w:name="xdx_903_eus-gaap--DerivativeLiabilityMea"/>
            <w:bookmarkEnd w:id="1102"/>
            <w:r>
              <w:rPr/>
              <w:t>8.9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660" w:type="dxa"/>
            <w:tcBorders/>
            <w:shd w:fill="FFFFFF" w:val="clear"/>
            <w:tcMar>
              <w:bottom w:w="0" w:type="dxa"/>
            </w:tcMar>
            <w:vAlign w:val="center"/>
          </w:tcPr>
          <w:p>
            <w:pPr>
              <w:pStyle w:val="TableContents"/>
              <w:bidi w:val="0"/>
              <w:spacing w:before="0" w:after="283"/>
              <w:jc w:val="both"/>
              <w:rPr/>
            </w:pPr>
            <w:r>
              <w:rPr/>
              <w:t>Risky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pPr>
            <w:bookmarkStart w:id="1103" w:name="xdx_909_eus-gaap--DerivativeLiabilityMea"/>
            <w:bookmarkEnd w:id="1103"/>
            <w:r>
              <w:rPr/>
              <w:t>12.6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pPr>
            <w:bookmarkStart w:id="1104" w:name="xdx_90F_eus-gaap--DerivativeLiabilityMea"/>
            <w:bookmarkEnd w:id="1104"/>
            <w:r>
              <w:rPr/>
              <w:t>12.4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509" w:type="dxa"/>
            <w:tcBorders/>
            <w:shd w:fill="FFFFFF" w:val="clear"/>
            <w:tcMar>
              <w:bottom w:w="0" w:type="dxa"/>
            </w:tcMar>
            <w:vAlign w:val="center"/>
          </w:tcPr>
          <w:p>
            <w:pPr>
              <w:pStyle w:val="TableContents"/>
              <w:bidi w:val="0"/>
              <w:spacing w:before="0" w:after="283"/>
              <w:jc w:val="right"/>
              <w:rPr/>
            </w:pPr>
            <w:bookmarkStart w:id="1105" w:name="xdx_90D_eus-gaap--DerivativeLiabilityMea"/>
            <w:bookmarkEnd w:id="1105"/>
            <w:r>
              <w:rPr/>
              <w:t>12.3</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660" w:type="dxa"/>
            <w:tcBorders/>
            <w:shd w:fill="CCEEFF" w:val="clear"/>
            <w:tcMar>
              <w:bottom w:w="0" w:type="dxa"/>
            </w:tcMar>
            <w:vAlign w:val="center"/>
          </w:tcPr>
          <w:p>
            <w:pPr>
              <w:pStyle w:val="TableContents"/>
              <w:bidi w:val="0"/>
              <w:spacing w:before="0" w:after="283"/>
              <w:jc w:val="both"/>
              <w:rPr/>
            </w:pPr>
            <w:r>
              <w:rPr/>
              <w:t>Implied calibration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885" w:type="dxa"/>
            <w:tcBorders/>
            <w:shd w:fill="CCEEFF" w:val="clear"/>
            <w:tcMar>
              <w:bottom w:w="0" w:type="dxa"/>
            </w:tcMar>
            <w:vAlign w:val="center"/>
          </w:tcPr>
          <w:p>
            <w:pPr>
              <w:pStyle w:val="TableContents"/>
              <w:bidi w:val="0"/>
              <w:spacing w:before="0" w:after="283"/>
              <w:jc w:val="right"/>
              <w:rPr/>
            </w:pPr>
            <w:bookmarkStart w:id="1106" w:name="xdx_906_eus-gaap--DerivativeLiabilityMea"/>
            <w:bookmarkEnd w:id="1106"/>
            <w:r>
              <w:rPr/>
              <w:t>24.4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993" w:type="dxa"/>
            <w:tcBorders/>
            <w:shd w:fill="CCEEFF" w:val="clear"/>
            <w:tcMar>
              <w:bottom w:w="0" w:type="dxa"/>
            </w:tcMar>
            <w:vAlign w:val="center"/>
          </w:tcPr>
          <w:p>
            <w:pPr>
              <w:pStyle w:val="TableContents"/>
              <w:bidi w:val="0"/>
              <w:spacing w:before="0" w:after="283"/>
              <w:jc w:val="right"/>
              <w:rPr/>
            </w:pPr>
            <w:bookmarkStart w:id="1107" w:name="xdx_903_eus-gaap--DerivativeLiabilityMea"/>
            <w:bookmarkEnd w:id="1107"/>
            <w:r>
              <w:rPr/>
              <w:t>16.5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50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660" w:type="dxa"/>
            <w:tcBorders/>
            <w:shd w:fill="FFFFFF" w:val="clear"/>
            <w:tcMar>
              <w:bottom w:w="0" w:type="dxa"/>
            </w:tcMar>
            <w:vAlign w:val="center"/>
          </w:tcPr>
          <w:p>
            <w:pPr>
              <w:pStyle w:val="TableContents"/>
              <w:bidi w:val="0"/>
              <w:spacing w:before="0" w:after="283"/>
              <w:jc w:val="both"/>
              <w:rPr/>
            </w:pPr>
            <w:r>
              <w:rPr/>
              <w:t>Prepayment probability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8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99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509" w:type="dxa"/>
            <w:tcBorders/>
            <w:shd w:fill="FFFFFF" w:val="clear"/>
            <w:tcMar>
              <w:bottom w:w="0" w:type="dxa"/>
            </w:tcMar>
            <w:vAlign w:val="center"/>
          </w:tcPr>
          <w:p>
            <w:pPr>
              <w:pStyle w:val="TableContents"/>
              <w:bidi w:val="0"/>
              <w:spacing w:before="0" w:after="283"/>
              <w:jc w:val="right"/>
              <w:rPr/>
            </w:pPr>
            <w:bookmarkStart w:id="1108" w:name="xdx_90B_eus-gaap--DerivativeLiabilityMea"/>
            <w:bookmarkEnd w:id="1108"/>
            <w:r>
              <w:rPr/>
              <w:t>70</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09" w:name="xdx_8A0_znFN9jnVnzwb"/>
      <w:bookmarkEnd w:id="110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31, 2025 valuation incorporated management’s assessment that optional prepayment was the most likely outcome and weighted prepayment and non-prepayment scenarios accordingly. Registration-dependent conversion scenarios were assigned a zero probability, as registration effectiveness was not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liabilities is most sensitive to changes in the Company’s stock price, expected volatility, and assumptions regarding the timing and likelihood of prepayment. An increase in expected volatility or stock price would generally increase the fair value of the derivative liability, while an increase in the probability of early prepayment would generally decrease the fair value. Due to the path-dependent nature of the valuation, quantitative sensitivity analyses are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derivative liabilities were recognized in earnings and included in “Other (income) expense”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1110" w:name="xdx_896_eus-gaap--ScheduleOfDerivativeLi"/>
      <w:bookmarkEnd w:id="1110"/>
      <w:r>
        <w:rPr>
          <w:rFonts w:ascii="Times New Roman;Times;Serif" w:hAnsi="Times New Roman;Times;Serif"/>
          <w:b w:val="false"/>
          <w:i/>
          <w:caps w:val="false"/>
          <w:smallCaps w:val="false"/>
          <w:sz w:val="20"/>
        </w:rPr>
        <w:t>Rollforward of Level 3 Recurring Fair Value Measurements – Embedded Derivative Liabilities (in thousands):</w:t>
      </w:r>
    </w:p>
    <w:p>
      <w:pPr>
        <w:pStyle w:val="TextBody"/>
        <w:bidi w:val="0"/>
        <w:spacing w:before="0" w:after="0"/>
        <w:ind w:left="0" w:right="0" w:hanging="0"/>
        <w:jc w:val="both"/>
        <w:rPr>
          <w:caps w:val="false"/>
          <w:smallCaps w:val="false"/>
        </w:rPr>
      </w:pPr>
      <w:r>
        <w:rPr>
          <w:caps w:val="false"/>
          <w:smallCaps w:val="false"/>
        </w:rPr>
        <w:t> </w:t>
      </w:r>
      <w:bookmarkStart w:id="1111" w:name="xdx_8BA_zFwrvpKYttFe"/>
      <w:bookmarkEnd w:id="1111"/>
      <w:r>
        <w:rPr>
          <w:rFonts w:ascii="Times New Roman;Times;Serif" w:hAnsi="Times New Roman;Times;Serif"/>
          <w:b w:val="false"/>
          <w:i w:val="false"/>
          <w:caps w:val="false"/>
          <w:smallCaps w:val="false"/>
          <w:sz w:val="20"/>
        </w:rPr>
        <w:t>SUMMARY OF FAIR VALUE MEASUREMENTS EMBEDDED DERIVATIVE LIABILITY</w:t>
      </w:r>
    </w:p>
    <w:tbl>
      <w:tblPr>
        <w:tblW w:w="7065" w:type="dxa"/>
        <w:jc w:val="left"/>
        <w:tblInd w:w="0" w:type="dxa"/>
        <w:tblLayout w:type="fixed"/>
        <w:tblCellMar>
          <w:top w:w="0" w:type="dxa"/>
          <w:left w:w="0" w:type="dxa"/>
          <w:bottom w:w="0" w:type="dxa"/>
          <w:right w:w="0" w:type="dxa"/>
        </w:tblCellMar>
      </w:tblPr>
      <w:tblGrid>
        <w:gridCol w:w="6095"/>
        <w:gridCol w:w="60"/>
        <w:gridCol w:w="144"/>
        <w:gridCol w:w="656"/>
        <w:gridCol w:w="110"/>
      </w:tblGrid>
      <w:tr>
        <w:trPr/>
        <w:tc>
          <w:tcPr>
            <w:tcW w:w="6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112" w:name="xdx_49D_20251104__20251231__us-gaap--Fai"/>
            <w:bookmarkEnd w:id="1112"/>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110" w:type="dxa"/>
            <w:tcBorders/>
            <w:vAlign w:val="center"/>
          </w:tcPr>
          <w:p>
            <w:pPr>
              <w:pStyle w:val="TableContents"/>
              <w:bidi w:val="0"/>
              <w:spacing w:before="0" w:after="283"/>
              <w:jc w:val="left"/>
              <w:rPr/>
            </w:pPr>
            <w:r>
              <w:rPr/>
              <w:t> </w:t>
            </w:r>
            <w:bookmarkStart w:id="1113" w:name="xdx_40A_eus-gaap--DerivativeLiabilitiesC"/>
            <w:bookmarkEnd w:id="1113"/>
          </w:p>
        </w:tc>
      </w:tr>
      <w:tr>
        <w:trPr/>
        <w:tc>
          <w:tcPr>
            <w:tcW w:w="6095" w:type="dxa"/>
            <w:tcBorders/>
            <w:shd w:fill="CCEEFF" w:val="clear"/>
            <w:vAlign w:val="center"/>
          </w:tcPr>
          <w:p>
            <w:pPr>
              <w:pStyle w:val="TableContents"/>
              <w:bidi w:val="0"/>
              <w:spacing w:before="0" w:after="283"/>
              <w:jc w:val="left"/>
              <w:rPr/>
            </w:pPr>
            <w:r>
              <w:rPr/>
              <w:t>Initial recognition (November 4 , 2025 and December 17, 2025)</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8,715</w:t>
            </w:r>
          </w:p>
        </w:tc>
        <w:tc>
          <w:tcPr>
            <w:tcW w:w="110" w:type="dxa"/>
            <w:tcBorders/>
            <w:shd w:fill="CCEEFF" w:val="clear"/>
            <w:vAlign w:val="center"/>
          </w:tcPr>
          <w:p>
            <w:pPr>
              <w:pStyle w:val="TableContents"/>
              <w:bidi w:val="0"/>
              <w:spacing w:before="0" w:after="283"/>
              <w:jc w:val="left"/>
              <w:rPr/>
            </w:pPr>
            <w:r>
              <w:rPr/>
              <w:t> </w:t>
            </w:r>
            <w:bookmarkStart w:id="1114" w:name="xdx_409_ecustom--ChangeInFairValueOfEmbe"/>
            <w:bookmarkEnd w:id="1114"/>
          </w:p>
        </w:tc>
      </w:tr>
      <w:tr>
        <w:trPr/>
        <w:tc>
          <w:tcPr>
            <w:tcW w:w="609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(7,015</w:t>
            </w:r>
          </w:p>
        </w:tc>
        <w:tc>
          <w:tcPr>
            <w:tcW w:w="110" w:type="dxa"/>
            <w:tcBorders/>
            <w:shd w:fill="FFFFFF" w:val="clear"/>
            <w:vAlign w:val="center"/>
          </w:tcPr>
          <w:p>
            <w:pPr>
              <w:pStyle w:val="TableContents"/>
              <w:bidi w:val="0"/>
              <w:spacing w:before="0" w:after="283"/>
              <w:jc w:val="left"/>
              <w:rPr/>
            </w:pPr>
            <w:r>
              <w:rPr/>
              <w:t>)</w:t>
            </w:r>
            <w:bookmarkStart w:id="1115" w:name="xdx_409_ecustom--EmbeddedDerivativeLiabi"/>
            <w:bookmarkEnd w:id="1115"/>
          </w:p>
        </w:tc>
      </w:tr>
      <w:tr>
        <w:trPr/>
        <w:tc>
          <w:tcPr>
            <w:tcW w:w="6095" w:type="dxa"/>
            <w:tcBorders/>
            <w:shd w:fill="CCEEFF" w:val="clear"/>
            <w:vAlign w:val="center"/>
          </w:tcPr>
          <w:p>
            <w:pPr>
              <w:pStyle w:val="TableContents"/>
              <w:bidi w:val="0"/>
              <w:spacing w:before="0" w:after="283"/>
              <w:jc w:val="left"/>
              <w:rPr/>
            </w:pPr>
            <w:r>
              <w:rPr/>
              <w:t>Settlements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16" w:name="xdx_40D_eus-gaap--DerivativeLiabilitiesC"/>
            <w:bookmarkEnd w:id="1116"/>
          </w:p>
        </w:tc>
      </w:tr>
      <w:tr>
        <w:trPr/>
        <w:tc>
          <w:tcPr>
            <w:tcW w:w="6095" w:type="dxa"/>
            <w:tcBorders/>
            <w:shd w:fill="FFFFFF" w:val="clear"/>
            <w:vAlign w:val="center"/>
          </w:tcPr>
          <w:p>
            <w:pPr>
              <w:pStyle w:val="TableContents"/>
              <w:bidi w:val="0"/>
              <w:spacing w:before="0" w:after="283"/>
              <w:jc w:val="left"/>
              <w:rPr/>
            </w:pPr>
            <w:r>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656" w:type="dxa"/>
            <w:tcBorders/>
            <w:shd w:fill="FFFFFF" w:val="clear"/>
            <w:vAlign w:val="center"/>
          </w:tcPr>
          <w:p>
            <w:pPr>
              <w:pStyle w:val="TableContents"/>
              <w:bidi w:val="0"/>
              <w:spacing w:before="0" w:after="283"/>
              <w:jc w:val="right"/>
              <w:rPr/>
            </w:pPr>
            <w:r>
              <w:rPr/>
              <w:t>1,700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17" w:name="xdx_8A4_zVVIolaheNQk"/>
      <w:bookmarkEnd w:id="111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Investment in Empress Royalty Corp.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Empress Royalty Corp. is measured at fair value each reporting period based on quoted market prices in active markets. This represents a Level 1 measurement within the fair value hierarchy. The fair value is based on quoted prices on the TSX Venture Exchange (principal market), translated into U.S. dollars using the spot exchange rate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December 31, 2025, the Company recognized a loss of $</w:t>
      </w:r>
      <w:bookmarkStart w:id="1118" w:name="xdx_90E_eus-gaap--Investments_iI_pn5n6_c"/>
      <w:bookmarkEnd w:id="1118"/>
      <w:r>
        <w:rPr>
          <w:rFonts w:ascii="Times New Roman;Times;Serif" w:hAnsi="Times New Roman;Times;Serif"/>
          <w:b w:val="false"/>
          <w:i w:val="false"/>
          <w:caps w:val="false"/>
          <w:smallCaps w:val="false"/>
          <w:sz w:val="20"/>
        </w:rPr>
        <w:t>0.7 million resulting from changes in the fair value of the Empress investment, which is included in “Other (income) expense”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9" w:name="xdx_894_eus-gaap--FairValueLiabilitiesMe"/>
      <w:bookmarkEnd w:id="1119"/>
      <w:r>
        <w:rPr>
          <w:rFonts w:ascii="Times New Roman;Times;Serif" w:hAnsi="Times New Roman;Times;Serif"/>
          <w:b w:val="false"/>
          <w:i w:val="false"/>
          <w:caps w:val="false"/>
          <w:smallCaps w:val="false"/>
          <w:sz w:val="20"/>
        </w:rPr>
        <w:t>The following table presents information about the Company’s financial instruments measured at fair value on a recurring basis as of December 31, 2025 (in thousands):</w:t>
      </w:r>
    </w:p>
    <w:p>
      <w:pPr>
        <w:pStyle w:val="TextBody"/>
        <w:bidi w:val="0"/>
        <w:spacing w:before="0" w:after="0"/>
        <w:ind w:left="0" w:right="0" w:hanging="0"/>
        <w:jc w:val="both"/>
        <w:rPr>
          <w:caps w:val="false"/>
          <w:smallCaps w:val="false"/>
        </w:rPr>
      </w:pPr>
      <w:r>
        <w:rPr>
          <w:caps w:val="false"/>
          <w:smallCaps w:val="false"/>
        </w:rPr>
        <w:t> </w:t>
      </w:r>
      <w:bookmarkStart w:id="1120" w:name="xdx_8BD_z1teSMLmNs0a"/>
      <w:bookmarkEnd w:id="1120"/>
      <w:r>
        <w:rPr>
          <w:rFonts w:ascii="Times New Roman;Times;Serif" w:hAnsi="Times New Roman;Times;Serif"/>
          <w:b w:val="false"/>
          <w:i w:val="false"/>
          <w:caps w:val="false"/>
          <w:smallCaps w:val="false"/>
          <w:sz w:val="20"/>
        </w:rPr>
        <w:t>SUMMARY OF RECURRING FAIR VALUE MEASUREMENTS</w:t>
      </w:r>
    </w:p>
    <w:tbl>
      <w:tblPr>
        <w:tblW w:w="10084" w:type="dxa"/>
        <w:jc w:val="left"/>
        <w:tblInd w:w="0" w:type="dxa"/>
        <w:tblLayout w:type="fixed"/>
        <w:tblCellMar>
          <w:top w:w="0" w:type="dxa"/>
          <w:left w:w="0" w:type="dxa"/>
          <w:bottom w:w="28" w:type="dxa"/>
          <w:right w:w="0" w:type="dxa"/>
        </w:tblCellMar>
      </w:tblPr>
      <w:tblGrid>
        <w:gridCol w:w="5225"/>
        <w:gridCol w:w="60"/>
        <w:gridCol w:w="172"/>
        <w:gridCol w:w="403"/>
        <w:gridCol w:w="60"/>
        <w:gridCol w:w="60"/>
        <w:gridCol w:w="391"/>
        <w:gridCol w:w="1564"/>
        <w:gridCol w:w="60"/>
        <w:gridCol w:w="60"/>
        <w:gridCol w:w="756"/>
        <w:gridCol w:w="1198"/>
        <w:gridCol w:w="75"/>
      </w:tblGrid>
      <w:tr>
        <w:trPr/>
        <w:tc>
          <w:tcPr>
            <w:tcW w:w="5225" w:type="dxa"/>
            <w:tcBorders>
              <w:bottom w:val="single" w:sz="8"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8"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21" w:name="xdx_496_20251231_z9onTpLIe19"/>
            <w:bookmarkEnd w:id="1121"/>
          </w:p>
        </w:tc>
        <w:tc>
          <w:tcPr>
            <w:tcW w:w="1955"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22" w:name="xdx_49A_20241231_zdRFEKyjzL27"/>
            <w:bookmarkEnd w:id="1122"/>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2024</w:t>
            </w:r>
          </w:p>
        </w:tc>
        <w:tc>
          <w:tcPr>
            <w:tcW w:w="75" w:type="dxa"/>
            <w:tcBorders/>
            <w:tcMar>
              <w:bottom w:w="0" w:type="dxa"/>
            </w:tcMar>
            <w:vAlign w:val="center"/>
          </w:tcPr>
          <w:p>
            <w:pPr>
              <w:pStyle w:val="TableContents"/>
              <w:bidi w:val="0"/>
              <w:spacing w:before="0" w:after="283"/>
              <w:jc w:val="left"/>
              <w:rPr/>
            </w:pPr>
            <w:r>
              <w:rPr/>
              <w:t> </w:t>
            </w:r>
            <w:bookmarkStart w:id="1123" w:name="xdx_400_eus-gaap--EmbeddedDerivativeFair"/>
            <w:bookmarkEnd w:id="1123"/>
          </w:p>
        </w:tc>
      </w:tr>
      <w:tr>
        <w:trPr/>
        <w:tc>
          <w:tcPr>
            <w:tcW w:w="5225" w:type="dxa"/>
            <w:tcBorders/>
            <w:shd w:fill="CCEEFF" w:val="clear"/>
            <w:tcMar>
              <w:bottom w:w="0" w:type="dxa"/>
            </w:tcMar>
            <w:vAlign w:val="center"/>
          </w:tcPr>
          <w:p>
            <w:pPr>
              <w:pStyle w:val="TableContents"/>
              <w:bidi w:val="0"/>
              <w:spacing w:before="0" w:after="283"/>
              <w:jc w:val="left"/>
              <w:rPr/>
            </w:pPr>
            <w:r>
              <w:rPr/>
              <w:t>Embedded derivative liabilities – Yorkville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righ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1,700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124" w:name="xdx_40E_eus-gaap--Investments_iI_pn3n3_h"/>
            <w:bookmarkEnd w:id="1124"/>
          </w:p>
        </w:tc>
      </w:tr>
      <w:tr>
        <w:trPr/>
        <w:tc>
          <w:tcPr>
            <w:tcW w:w="5225" w:type="dxa"/>
            <w:tcBorders/>
            <w:shd w:fill="FFFFFF" w:val="clear"/>
            <w:tcMar>
              <w:bottom w:w="0" w:type="dxa"/>
            </w:tcMar>
            <w:vAlign w:val="center"/>
          </w:tcPr>
          <w:p>
            <w:pPr>
              <w:pStyle w:val="TableContents"/>
              <w:bidi w:val="0"/>
              <w:spacing w:before="0" w:after="283"/>
              <w:jc w:val="left"/>
              <w:rPr/>
            </w:pPr>
            <w:r>
              <w:rPr/>
              <w:t>Investment in Empress Royalty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r>
              <w:rPr/>
              <w:t>9,706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left"/>
              <w:rPr/>
            </w:pPr>
            <w:r>
              <w:rPr/>
              <w:t> </w:t>
            </w:r>
          </w:p>
        </w:tc>
        <w:tc>
          <w:tcPr>
            <w:tcW w:w="119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25" w:name="xdx_8AA_zdSOsz5l0vUh"/>
      <w:bookmarkEnd w:id="112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26" w:name="xdx_80D_eus-gaap--MarketableSecuritiesTe"/>
      <w:bookmarkEnd w:id="1126"/>
      <w:r>
        <w:rPr>
          <w:rFonts w:ascii="Times New Roman;Times;Serif" w:hAnsi="Times New Roman;Times;Serif"/>
          <w:b/>
          <w:i w:val="false"/>
          <w:caps w:val="false"/>
          <w:smallCaps w:val="false"/>
          <w:sz w:val="20"/>
        </w:rPr>
        <w:t xml:space="preserve">NOTE 13 – </w:t>
      </w:r>
      <w:bookmarkStart w:id="1127" w:name="xdx_829_ztfA4J30n9z2"/>
      <w:bookmarkEnd w:id="1127"/>
      <w:r>
        <w:rPr>
          <w:rFonts w:ascii="Times New Roman;Times;Serif" w:hAnsi="Times New Roman;Times;Serif"/>
          <w:b/>
          <w:i w:val="false"/>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Empress Royalty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2025, the Company entered into a share purchase agreement with Terra Capital Natural Resources Fund Pty Ltd to acquire </w:t>
      </w:r>
      <w:bookmarkStart w:id="1128" w:name="xdx_90C_eus-gaap--StockIssuedDuringPerio"/>
      <w:bookmarkEnd w:id="1128"/>
      <w:r>
        <w:rPr>
          <w:rFonts w:ascii="Times New Roman;Times;Serif" w:hAnsi="Times New Roman;Times;Serif"/>
          <w:b w:val="false"/>
          <w:i w:val="false"/>
          <w:caps w:val="false"/>
          <w:smallCaps w:val="false"/>
          <w:sz w:val="20"/>
        </w:rPr>
        <w:t xml:space="preserve">12,671,297 common shares of Empress Royalty Corp. (“Empress”), representing approximately </w:t>
      </w:r>
      <w:bookmarkStart w:id="1129" w:name="xdx_906_ecustom--EquityMethodInvestmentO"/>
      <w:bookmarkEnd w:id="1129"/>
      <w:r>
        <w:rPr>
          <w:rFonts w:ascii="Times New Roman;Times;Serif" w:hAnsi="Times New Roman;Times;Serif"/>
          <w:b w:val="false"/>
          <w:i w:val="false"/>
          <w:caps w:val="false"/>
          <w:smallCaps w:val="false"/>
          <w:sz w:val="20"/>
        </w:rPr>
        <w:t>9.9% of Empress’s outstanding common shares. Empress is listed on the TSX Venture Exchange and OTCQX.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the Company issued </w:t>
      </w:r>
      <w:bookmarkStart w:id="1130" w:name="xdx_907_eus-gaap--StockIssuedDuringPerio"/>
      <w:bookmarkEnd w:id="1130"/>
      <w:r>
        <w:rPr>
          <w:rFonts w:ascii="Times New Roman;Times;Serif" w:hAnsi="Times New Roman;Times;Serif"/>
          <w:b w:val="false"/>
          <w:i w:val="false"/>
          <w:caps w:val="false"/>
          <w:smallCaps w:val="false"/>
          <w:sz w:val="20"/>
        </w:rPr>
        <w:t>2,443,750 restricted shares of its common stock on December 12, 2025, the date ownership transferred. The investment was initially recognized at $</w:t>
      </w:r>
      <w:bookmarkStart w:id="1131" w:name="xdx_90C_eus-gaap--Investments_iI_pn5n6_c"/>
      <w:bookmarkEnd w:id="1131"/>
      <w:r>
        <w:rPr>
          <w:rFonts w:ascii="Times New Roman;Times;Serif" w:hAnsi="Times New Roman;Times;Serif"/>
          <w:b w:val="false"/>
          <w:i w:val="false"/>
          <w:caps w:val="false"/>
          <w:smallCaps w:val="false"/>
          <w:sz w:val="20"/>
        </w:rPr>
        <w:t xml:space="preserve">10.5 million , based on the fair value of </w:t>
      </w:r>
      <w:bookmarkStart w:id="1132" w:name="xdx_90F_eus-gaap--StockIssuedDuringPerio"/>
      <w:bookmarkEnd w:id="1132"/>
      <w:r>
        <w:rPr>
          <w:rFonts w:ascii="Times New Roman;Times;Serif" w:hAnsi="Times New Roman;Times;Serif"/>
          <w:b w:val="false"/>
          <w:i w:val="false"/>
          <w:caps w:val="false"/>
          <w:smallCaps w:val="false"/>
          <w:sz w:val="20"/>
        </w:rPr>
        <w:t>2,443,750 Streamex shares issued at $</w:t>
      </w:r>
      <w:bookmarkStart w:id="1133" w:name="xdx_90F_eus-gaap--SharePrice_iI_pid_c202"/>
      <w:bookmarkEnd w:id="1133"/>
      <w:r>
        <w:rPr>
          <w:rFonts w:ascii="Times New Roman;Times;Serif" w:hAnsi="Times New Roman;Times;Serif"/>
          <w:b w:val="false"/>
          <w:i w:val="false"/>
          <w:caps w:val="false"/>
          <w:smallCaps w:val="false"/>
          <w:sz w:val="20"/>
        </w:rPr>
        <w:t>4.31 per share on December 12, 2025. The Company does not have significant influence over Empress.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carrying amount (fair value) of the Empress investment was $</w:t>
      </w:r>
      <w:bookmarkStart w:id="1134" w:name="xdx_909_eus-gaap--InvestmentOwnedAtFairV"/>
      <w:bookmarkEnd w:id="1134"/>
      <w:r>
        <w:rPr>
          <w:rFonts w:ascii="Times New Roman;Times;Serif" w:hAnsi="Times New Roman;Times;Serif"/>
          <w:b w:val="false"/>
          <w:i w:val="false"/>
          <w:caps w:val="false"/>
          <w:smallCaps w:val="false"/>
          <w:sz w:val="20"/>
        </w:rPr>
        <w:t>9.7 million and the Company recognized an unrealized loss of approximately $</w:t>
      </w:r>
      <w:bookmarkStart w:id="1135" w:name="xdx_900_eus-gaap--UnrealizedGainLossOnIn"/>
      <w:bookmarkEnd w:id="1135"/>
      <w:r>
        <w:rPr>
          <w:rFonts w:ascii="Times New Roman;Times;Serif" w:hAnsi="Times New Roman;Times;Serif"/>
          <w:b w:val="false"/>
          <w:i w:val="false"/>
          <w:caps w:val="false"/>
          <w:smallCaps w:val="false"/>
          <w:sz w:val="20"/>
        </w:rPr>
        <w:t>0.7 million for the period ended December 31, 2025. The Empress investment is classified as Level 1 within the ASC 820 fair value hierarchy because it is based on quoted prices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36" w:name="xdx_80C_eus-gaap--OtherAssetsDisclosureT"/>
      <w:bookmarkEnd w:id="1136"/>
      <w:r>
        <w:rPr>
          <w:rFonts w:ascii="Times New Roman;Times;Serif" w:hAnsi="Times New Roman;Times;Serif"/>
          <w:b/>
          <w:i w:val="false"/>
          <w:caps w:val="false"/>
          <w:smallCaps w:val="false"/>
          <w:sz w:val="20"/>
        </w:rPr>
        <w:t xml:space="preserve">NOTE 14 – </w:t>
      </w:r>
      <w:bookmarkStart w:id="1137" w:name="xdx_82F_zCml4kVgNa4l"/>
      <w:bookmarkEnd w:id="1137"/>
      <w:r>
        <w:rPr>
          <w:rFonts w:ascii="Times New Roman;Times;Serif" w:hAnsi="Times New Roman;Times;Serif"/>
          <w:b/>
          <w:i w:val="false"/>
          <w:caps w:val="false"/>
          <w:smallCaps w:val="false"/>
          <w:sz w:val="20"/>
        </w:rPr>
        <w:t xml:space="preserve">OTHER ASSET HELD FOR SALE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LBMA Good Delivery gold bullion (the “Gold”) on an allocated, physically segregated basis in secure vaults operated by Brink’s Global Services USA, Inc. (“Brink’s”) and maintained the Gold in a securities account with Gold Bullion International, LLC (“GBI”). The aggregate carrying value of the Gold was approximately $</w:t>
      </w:r>
      <w:bookmarkStart w:id="1138" w:name="xdx_908_eus-gaap--OtherAssets_iI_pn5n6_c"/>
      <w:bookmarkEnd w:id="1138"/>
      <w:r>
        <w:rPr>
          <w:rFonts w:ascii="Times New Roman;Times;Serif" w:hAnsi="Times New Roman;Times;Serif"/>
          <w:b w:val="false"/>
          <w:i w:val="false"/>
          <w:caps w:val="false"/>
          <w:smallCaps w:val="false"/>
          <w:sz w:val="20"/>
        </w:rPr>
        <w:t>24.5 million, of which approximately $</w:t>
      </w:r>
      <w:bookmarkStart w:id="1139" w:name="xdx_904_eus-gaap--OtherAssets_iI_pn5n6_c"/>
      <w:bookmarkEnd w:id="1139"/>
      <w:r>
        <w:rPr>
          <w:rFonts w:ascii="Times New Roman;Times;Serif" w:hAnsi="Times New Roman;Times;Serif"/>
          <w:b w:val="false"/>
          <w:i w:val="false"/>
          <w:caps w:val="false"/>
          <w:smallCaps w:val="false"/>
          <w:sz w:val="20"/>
        </w:rPr>
        <w:t>23.5 million was restricted and approximately $</w:t>
      </w:r>
      <w:bookmarkStart w:id="1140" w:name="xdx_903_eus-gaap--OtherAssets_iI_pn5n6_c"/>
      <w:bookmarkEnd w:id="1140"/>
      <w:r>
        <w:rPr>
          <w:rFonts w:ascii="Times New Roman;Times;Serif" w:hAnsi="Times New Roman;Times;Serif"/>
          <w:b w:val="false"/>
          <w:i w:val="false"/>
          <w:caps w:val="false"/>
          <w:smallCaps w:val="false"/>
          <w:sz w:val="20"/>
        </w:rPr>
        <w:t>1.0 million was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portion of the Gold and related account rights were pledged as collateral under the Company’s secured financing arrangements, including the Secured Convertible Debenture Purchase Agreement dated July 7, 2025 and the Guaranty and Security Agreement dated November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Account Control Agreement dated November 4, 2025, GBI is required to comply with entitlement orders issued by YA II PN, LTD., acting as collateral agent (the “Collateral Agent”), and GBI will not follow Company instructions unless accompanied by the Collateral Agent’s express written consent. Upon receipt of a notice of sole control following an event of default, GBI would terminate the Company’s access to the securities account and take instructions solely from the Collateral Agent as the entitlement holder with respect to the account and property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Brink’s Bailee Agreement dated November 4, 2025, Brink’s acts solely as bailee of the Gold, acknowledges no property interest in the Gold, and any statutory or possessory liens are subordinated to the Collateral Agent’s first-priority security interest. Brink’s maximum liability amount under its arrangements with GBI is $</w:t>
      </w:r>
      <w:bookmarkStart w:id="1141" w:name="xdx_900_eus-gaap--OtherLiabilities_iI_pn"/>
      <w:bookmarkEnd w:id="1141"/>
      <w:r>
        <w:rPr>
          <w:rFonts w:ascii="Times New Roman;Times;Serif" w:hAnsi="Times New Roman;Times;Serif"/>
          <w:b w:val="false"/>
          <w:i w:val="false"/>
          <w:caps w:val="false"/>
          <w:smallCaps w:val="false"/>
          <w:sz w:val="20"/>
        </w:rPr>
        <w:t>125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entitlement orders or notices of sole control were issued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2025, management committed to a plan to sell the Gold in connection with the Company’s plan to resolve and repay its secured convertible debentures. The Company determined that all criteria for classification as held for sale under ASC 360-10-45-9 were met as of December 29, 2025. Accordingly, as of December 31, 2025, the Gold was classified as held for sale and measured at the lower of its carrying amount or fair value less cost to sell. Because fair value less cost to sell exceeded the carrying amount, </w:t>
      </w:r>
      <w:bookmarkStart w:id="1142" w:name="xdx_901_eus-gaap--InventoryWriteDown_do_"/>
      <w:bookmarkEnd w:id="1142"/>
      <w:r>
        <w:rPr>
          <w:rFonts w:ascii="Times New Roman;Times;Serif" w:hAnsi="Times New Roman;Times;Serif"/>
          <w:b w:val="false"/>
          <w:i w:val="false"/>
          <w:caps w:val="false"/>
          <w:smallCaps w:val="false"/>
          <w:sz w:val="20"/>
        </w:rPr>
        <w:t>no write-down was recorded prior to sale.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considered whether events or changes in circumstances, including changes in gold market prices, indicated potential impairment of its long-lived assets, including the Gold. Management determined that these factors did not indicate that the carrying amount of the Gold was not recoverable, and accordingly, </w:t>
      </w:r>
      <w:bookmarkStart w:id="1143" w:name="xdx_90A_eus-gaap--AssetImpairmentCharges"/>
      <w:bookmarkEnd w:id="1143"/>
      <w:r>
        <w:rPr>
          <w:rFonts w:ascii="Times New Roman;Times;Serif" w:hAnsi="Times New Roman;Times;Serif"/>
          <w:b w:val="false"/>
          <w:i w:val="false"/>
          <w:caps w:val="false"/>
          <w:smallCaps w:val="false"/>
          <w:sz w:val="20"/>
        </w:rPr>
        <w:t>no impairment charges were recorded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44" w:name="xdx_80C_eus-gaap--DebtDisclosureTextBloc"/>
      <w:bookmarkEnd w:id="1144"/>
      <w:r>
        <w:rPr>
          <w:rFonts w:ascii="Times New Roman;Times;Serif" w:hAnsi="Times New Roman;Times;Serif"/>
          <w:b/>
          <w:i w:val="false"/>
          <w:caps w:val="false"/>
          <w:smallCaps w:val="false"/>
          <w:sz w:val="20"/>
        </w:rPr>
        <w:t xml:space="preserve">NOTE 15 – </w:t>
      </w:r>
      <w:bookmarkStart w:id="1145" w:name="xdx_82F_zvcdn6SPPYT5"/>
      <w:bookmarkEnd w:id="1145"/>
      <w:r>
        <w:rPr>
          <w:rFonts w:ascii="Times New Roman;Times;Serif" w:hAnsi="Times New Roman;Times;Serif"/>
          <w:b/>
          <w:i w:val="false"/>
          <w:caps w:val="false"/>
          <w:smallCaps w:val="false"/>
          <w:sz w:val="20"/>
        </w:rPr>
        <w:t>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and December 17, 2025, the Company issued two tranches of senior secured convertible debentures to YA II PN, Ltd. (“Yorkville”) (collectively, the “Convertible Debentures”) with aggregate principal of $</w:t>
      </w:r>
      <w:bookmarkStart w:id="1146" w:name="xdx_909_eus-gaap--DebtInstrumentFaceAmou"/>
      <w:bookmarkEnd w:id="1146"/>
      <w:r>
        <w:rPr>
          <w:rFonts w:ascii="Times New Roman;Times;Serif" w:hAnsi="Times New Roman;Times;Serif"/>
          <w:b w:val="false"/>
          <w:i w:val="false"/>
          <w:caps w:val="false"/>
          <w:smallCaps w:val="false"/>
          <w:sz w:val="20"/>
        </w:rPr>
        <w:t>50.0 million (each tranche with principal of $</w:t>
      </w:r>
      <w:bookmarkStart w:id="1147" w:name="xdx_900_eus-gaap--DebtInstrumentFaceAmou"/>
      <w:bookmarkStart w:id="1148" w:name="xdx_903_eus-gaap--DebtInstrumentFaceAmou"/>
      <w:bookmarkEnd w:id="1147"/>
      <w:bookmarkEnd w:id="1148"/>
      <w:r>
        <w:rPr>
          <w:rFonts w:ascii="Times New Roman;Times;Serif" w:hAnsi="Times New Roman;Times;Serif"/>
          <w:b w:val="false"/>
          <w:i w:val="false"/>
          <w:caps w:val="false"/>
          <w:smallCaps w:val="false"/>
          <w:sz w:val="20"/>
        </w:rPr>
        <w:t>25.0 million). The Convertible Debentures were issued as part of the Company’s capital-raising strategy to fund operations and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debenture was issued at a purchase price of </w:t>
      </w:r>
      <w:bookmarkStart w:id="1149" w:name="xdx_90D_eus-gaap--DebtInstrumentInterest"/>
      <w:bookmarkStart w:id="1150" w:name="xdx_906_eus-gaap--DebtInstrumentInterest"/>
      <w:bookmarkEnd w:id="1149"/>
      <w:bookmarkEnd w:id="1150"/>
      <w:r>
        <w:rPr>
          <w:rFonts w:ascii="Times New Roman;Times;Serif" w:hAnsi="Times New Roman;Times;Serif"/>
          <w:b w:val="false"/>
          <w:i w:val="false"/>
          <w:caps w:val="false"/>
          <w:smallCaps w:val="false"/>
          <w:sz w:val="20"/>
        </w:rPr>
        <w:t xml:space="preserve">96% of principal, bears interest at </w:t>
      </w:r>
      <w:bookmarkStart w:id="1151" w:name="xdx_90F_eus-gaap--DebtInstrumentInterest"/>
      <w:bookmarkStart w:id="1152" w:name="xdx_907_eus-gaap--DebtInstrumentInterest"/>
      <w:bookmarkEnd w:id="1151"/>
      <w:bookmarkEnd w:id="1152"/>
      <w:r>
        <w:rPr>
          <w:rFonts w:ascii="Times New Roman;Times;Serif" w:hAnsi="Times New Roman;Times;Serif"/>
          <w:b w:val="false"/>
          <w:i w:val="false"/>
          <w:caps w:val="false"/>
          <w:smallCaps w:val="false"/>
          <w:sz w:val="20"/>
        </w:rPr>
        <w:t xml:space="preserve">4.0% per annum (increasing to </w:t>
      </w:r>
      <w:bookmarkStart w:id="1153" w:name="xdx_90F_eus-gaap--DebtInstrumentInterest"/>
      <w:bookmarkStart w:id="1154" w:name="xdx_908_eus-gaap--DebtInstrumentInterest"/>
      <w:bookmarkEnd w:id="1153"/>
      <w:bookmarkEnd w:id="1154"/>
      <w:r>
        <w:rPr>
          <w:rFonts w:ascii="Times New Roman;Times;Serif" w:hAnsi="Times New Roman;Times;Serif"/>
          <w:b w:val="false"/>
          <w:i w:val="false"/>
          <w:caps w:val="false"/>
          <w:smallCaps w:val="false"/>
          <w:sz w:val="20"/>
        </w:rPr>
        <w:t>18.0% upon an event of default), and has a contractual maturity date that is 24 months from issuance (November 4, 2027 and December 17, 2027,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are secured by first-priority liens on substantially all assets of the Company and are guaranteed by certain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Prepayment and Amortization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prepay the Convertible Debentures prior to maturity upon delivery of an irrevocable prepayment notice and payment of a 10% prepayment premium, accrued interest, and outstanding principal. During the prepayment notice period, Yorkville retains the right to convert all or a portion of the outstanding principal and accrued interest into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also provide for monthly principal amortization payments upon the occurrence of specified “Amortization Events,” including a sustained decline in the Company’s stock price below the contractual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2025, the Company obtained a limited waiver from Yorkville that deferred the required monthly principal amortization payments that were contractually triggered by a floor price event. Under the waiver, the $</w:t>
      </w:r>
      <w:bookmarkStart w:id="1155" w:name="xdx_906_eus-gaap--DebtInstrumentAnnualPr"/>
      <w:bookmarkEnd w:id="1155"/>
      <w:r>
        <w:rPr>
          <w:rFonts w:ascii="Times New Roman;Times;Serif" w:hAnsi="Times New Roman;Times;Serif"/>
          <w:b w:val="false"/>
          <w:i w:val="false"/>
          <w:caps w:val="false"/>
          <w:smallCaps w:val="false"/>
          <w:sz w:val="20"/>
        </w:rPr>
        <w:t>5.0 million monthly principal payments (plus related interest and premiums) otherwise due in January 2026 were temporarily waived, with the obligation to pay these amounts (aggregating $</w:t>
      </w:r>
      <w:bookmarkStart w:id="1156" w:name="xdx_902_eus-gaap--ProceedsFromNotesPayab"/>
      <w:bookmarkEnd w:id="1156"/>
      <w:r>
        <w:rPr>
          <w:rFonts w:ascii="Times New Roman;Times;Serif" w:hAnsi="Times New Roman;Times;Serif"/>
          <w:b w:val="false"/>
          <w:i w:val="false"/>
          <w:caps w:val="false"/>
          <w:smallCaps w:val="false"/>
          <w:sz w:val="20"/>
        </w:rPr>
        <w:t>10.0 million for January and February 2026) deferred until February 1, 2026. The waiver did not modify the total principal due under the Convertible Debentures but extended the initial amortization date, providing the Company additional time to pursue refinancing or repayment alternatives. Based on the limited waiver and uncertainty tied to the Company’s ability to ensure no further amortization events the note is reflected as current on our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may convert all or any portion of the outstanding principal and accrued interest into shares of the Company’s common stock at a conversion price equal to the lower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fixed price of $</w:t>
      </w:r>
      <w:bookmarkStart w:id="1157" w:name="xdx_909_eus-gaap--DebtInstrumentConverti"/>
      <w:bookmarkEnd w:id="1157"/>
      <w:r>
        <w:rPr>
          <w:rFonts w:ascii="Times New Roman;Times;Serif" w:hAnsi="Times New Roman;Times;Serif"/>
          <w:b w:val="false"/>
          <w:i w:val="false"/>
          <w:caps w:val="false"/>
          <w:smallCaps w:val="false"/>
          <w:sz w:val="20"/>
        </w:rPr>
        <w:t>6.016 per share, subject to a one-time downward-only reset following registration effectiveness,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97% of the lowest daily volume-weighted average price (“VWAP”) during the three trading days immediately preceding conversion, subject to a $</w:t>
      </w:r>
      <w:bookmarkStart w:id="1158" w:name="xdx_90B_eus-gaap--SharesIssuedPricePerSh"/>
      <w:bookmarkEnd w:id="1158"/>
      <w:r>
        <w:rPr>
          <w:rFonts w:ascii="Times New Roman;Times;Serif" w:hAnsi="Times New Roman;Times;Serif"/>
          <w:b w:val="false"/>
          <w:i w:val="false"/>
          <w:caps w:val="false"/>
          <w:smallCaps w:val="false"/>
          <w:sz w:val="20"/>
        </w:rPr>
        <w:t>4.00 per share floor price, in each case subject to customary 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also subject to a beneficial ownership limitation (generally 4.99%) and an exchange cap tied to Nasdaq rules, unless stockholder approval is obtained or the limitation is otherwise waived pursuant to the debenture terms.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fully converted at the $</w:t>
      </w:r>
      <w:bookmarkStart w:id="1159" w:name="xdx_90B_eus-gaap--SharesIssuedPricePerSh"/>
      <w:bookmarkEnd w:id="1159"/>
      <w:r>
        <w:rPr>
          <w:rFonts w:ascii="Times New Roman;Times;Serif" w:hAnsi="Times New Roman;Times;Serif"/>
          <w:b w:val="false"/>
          <w:i w:val="false"/>
          <w:caps w:val="false"/>
          <w:smallCaps w:val="false"/>
          <w:sz w:val="20"/>
        </w:rPr>
        <w:t>4.00 floor price, the $</w:t>
      </w:r>
      <w:bookmarkStart w:id="1160" w:name="xdx_900_eus-gaap--ConvertibleDebt_iI_pn5"/>
      <w:bookmarkEnd w:id="1160"/>
      <w:r>
        <w:rPr>
          <w:rFonts w:ascii="Times New Roman;Times;Serif" w:hAnsi="Times New Roman;Times;Serif"/>
          <w:b w:val="false"/>
          <w:i w:val="false"/>
          <w:caps w:val="false"/>
          <w:smallCaps w:val="false"/>
          <w:sz w:val="20"/>
        </w:rPr>
        <w:t xml:space="preserve">50.0 million principal amount of the Convertible Debentures would be convertible into a maximum of </w:t>
      </w:r>
      <w:bookmarkStart w:id="1161" w:name="xdx_900_eus-gaap--StockIssuedDuringPerio"/>
      <w:bookmarkEnd w:id="1161"/>
      <w:r>
        <w:rPr>
          <w:rFonts w:ascii="Times New Roman;Times;Serif" w:hAnsi="Times New Roman;Times;Serif"/>
          <w:b w:val="false"/>
          <w:i w:val="false"/>
          <w:caps w:val="false"/>
          <w:smallCaps w:val="false"/>
          <w:sz w:val="20"/>
        </w:rPr>
        <w:t>12,500,000 shares of the Company’s common stock, exclusive of any shares issuable for accrued interest or premiums. The Company did not register any shares for issuance under the Convertible Debentures and elected to utilize its optional cash settlement provisions in early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Proceeds and Gold Collateral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amendments to the debenture purchase agreement, the Company was required to allocate an aggregate of $</w:t>
      </w:r>
      <w:bookmarkStart w:id="1162" w:name="xdx_901_eus-gaap--DebtInstrumentCollater"/>
      <w:bookmarkEnd w:id="1162"/>
      <w:r>
        <w:rPr>
          <w:rFonts w:ascii="Times New Roman;Times;Serif" w:hAnsi="Times New Roman;Times;Serif"/>
          <w:b w:val="false"/>
          <w:i w:val="false"/>
          <w:caps w:val="false"/>
          <w:smallCaps w:val="false"/>
          <w:sz w:val="20"/>
        </w:rPr>
        <w:t>25.1 million of proceeds from the two closings to purchase Allocated Vaulted Gold Bullion through designated controlled accounts, consisting of $</w:t>
      </w:r>
      <w:bookmarkStart w:id="1163" w:name="xdx_901_eus-gaap--DebtInstrumentCollater"/>
      <w:bookmarkEnd w:id="1163"/>
      <w:r>
        <w:rPr>
          <w:rFonts w:ascii="Times New Roman;Times;Serif" w:hAnsi="Times New Roman;Times;Serif"/>
          <w:b w:val="false"/>
          <w:i w:val="false"/>
          <w:caps w:val="false"/>
          <w:smallCaps w:val="false"/>
          <w:sz w:val="20"/>
        </w:rPr>
        <w:t>12.6 million at the first closing and $</w:t>
      </w:r>
      <w:bookmarkStart w:id="1164" w:name="xdx_901_eus-gaap--DebtInstrumentCollater"/>
      <w:bookmarkEnd w:id="1164"/>
      <w:r>
        <w:rPr>
          <w:rFonts w:ascii="Times New Roman;Times;Serif" w:hAnsi="Times New Roman;Times;Serif"/>
          <w:b w:val="false"/>
          <w:i w:val="false"/>
          <w:caps w:val="false"/>
          <w:smallCaps w:val="false"/>
          <w:sz w:val="20"/>
        </w:rPr>
        <w:t>12.5 million at the second closing. The gold holdings served as additional collateral under the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Embedded Derivative Liability – Conversion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holder’s optional conversion feature requires bifurcation as an embedded derivative under ASC 815, Derivatives and Hedge Accounting, because (i) the economic characteristics of the conversion feature are not clearly and closely related to the host debt instrument and (ii) the conversion feature does not qualify for equity classification due to its variable conversion pricing mechanics, including VWAP-based pricing, floor price provisions, and reset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embedded conversion option is accounted for separately as a derivative liability measured at fair value, with changes in fair value recognized in earnings each reporting period. At issuance, the Company allocated proceeds between the host debt and the embedded derivative based on relative fair value, with the derivative recorded as a liability and a corresponding amount recorded as a debt discount on the host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estimated fair value of the embedded derivative liabilities totaled approximately $</w:t>
      </w:r>
      <w:bookmarkStart w:id="1165" w:name="xdx_908_eus-gaap--EmbeddedDerivativeFair"/>
      <w:bookmarkEnd w:id="1165"/>
      <w:r>
        <w:rPr>
          <w:rFonts w:ascii="Times New Roman;Times;Serif" w:hAnsi="Times New Roman;Times;Serif"/>
          <w:b w:val="false"/>
          <w:i w:val="false"/>
          <w:caps w:val="false"/>
          <w:smallCaps w:val="false"/>
          <w:sz w:val="20"/>
        </w:rPr>
        <w:t>1.7 million, consisting of approximately $</w:t>
      </w:r>
      <w:bookmarkStart w:id="1166" w:name="xdx_904_eus-gaap--EmbeddedDerivativeFair"/>
      <w:bookmarkEnd w:id="1166"/>
      <w:r>
        <w:rPr>
          <w:rFonts w:ascii="Times New Roman;Times;Serif" w:hAnsi="Times New Roman;Times;Serif"/>
          <w:b w:val="false"/>
          <w:i w:val="false"/>
          <w:caps w:val="false"/>
          <w:smallCaps w:val="false"/>
          <w:sz w:val="20"/>
        </w:rPr>
        <w:t>1.1 million attributable to the November 4, 2025 tranche and approximately $</w:t>
      </w:r>
      <w:bookmarkStart w:id="1167" w:name="xdx_90C_eus-gaap--EmbeddedDerivativeFair"/>
      <w:bookmarkEnd w:id="1167"/>
      <w:r>
        <w:rPr>
          <w:rFonts w:ascii="Times New Roman;Times;Serif" w:hAnsi="Times New Roman;Times;Serif"/>
          <w:b w:val="false"/>
          <w:i w:val="false"/>
          <w:caps w:val="false"/>
          <w:smallCaps w:val="false"/>
          <w:sz w:val="20"/>
        </w:rPr>
        <w:t>0.6 million attributable to the December 17, 2025 tranche. See Note 12, Fair Value Measurements for additional information regarding the Company’s evaluation of the embedded derivative liability. For an overview of the Company’s derivative financial instruments and related disclosures required by ASC 815, see Note 17, Derivative Financial Instruments and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Gain on Embedded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a gain of approximately $</w:t>
      </w:r>
      <w:bookmarkStart w:id="1168" w:name="xdx_90E_eus-gaap--EmbeddedDerivativeGain"/>
      <w:bookmarkEnd w:id="1168"/>
      <w:r>
        <w:rPr>
          <w:rFonts w:ascii="Times New Roman;Times;Serif" w:hAnsi="Times New Roman;Times;Serif"/>
          <w:b w:val="false"/>
          <w:i w:val="false"/>
          <w:caps w:val="false"/>
          <w:smallCaps w:val="false"/>
          <w:sz w:val="20"/>
        </w:rPr>
        <w:t>7.0 million related to changes in the fair value of the embedded derivative liabilities associated with the Convertible Debentures. This gain is included in other income (expense)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Carrying Amount and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carrying value of the Convertible Debentures, net of unamortized original issue discount, debt issuance costs, and bifurcation-related discounts, was approximately $</w:t>
      </w:r>
      <w:bookmarkStart w:id="1169" w:name="xdx_903_eus-gaap--DebtInstrumentFairValu"/>
      <w:bookmarkEnd w:id="1169"/>
      <w:r>
        <w:rPr>
          <w:rFonts w:ascii="Times New Roman;Times;Serif" w:hAnsi="Times New Roman;Times;Serif"/>
          <w:b w:val="false"/>
          <w:i w:val="false"/>
          <w:caps w:val="false"/>
          <w:smallCaps w:val="false"/>
          <w:sz w:val="20"/>
        </w:rPr>
        <w:t>38.0 million on a combined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Convertible Debentures had unamortized debt discounts (including original issue discounts, derivative discounts, and debt issuance costs) totaling approximately $</w:t>
      </w:r>
      <w:bookmarkStart w:id="1170" w:name="xdx_90F_eus-gaap--DebtInstrumentUnamorti"/>
      <w:bookmarkEnd w:id="1170"/>
      <w:r>
        <w:rPr>
          <w:rFonts w:ascii="Times New Roman;Times;Serif" w:hAnsi="Times New Roman;Times;Serif"/>
          <w:b w:val="false"/>
          <w:i w:val="false"/>
          <w:caps w:val="false"/>
          <w:smallCaps w:val="false"/>
          <w:sz w:val="20"/>
        </w:rPr>
        <w:t>12.0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for the year ended December 31, 2025 includes stated coupon interest and amortization of debt discounts and issuance costs under the effective interest method. For the year ended December 31, 2025, the Company recognized total interest expense of approximately $</w:t>
      </w:r>
      <w:bookmarkStart w:id="1171" w:name="xdx_900_eus-gaap--InterestExpense_pn5n6_"/>
      <w:bookmarkEnd w:id="1171"/>
      <w:r>
        <w:rPr>
          <w:rFonts w:ascii="Times New Roman;Times;Serif" w:hAnsi="Times New Roman;Times;Serif"/>
          <w:b w:val="false"/>
          <w:i w:val="false"/>
          <w:caps w:val="false"/>
          <w:smallCaps w:val="false"/>
          <w:sz w:val="20"/>
        </w:rPr>
        <w:t>1.6 million related to the Convertible Debentures, consisting of approximately $</w:t>
      </w:r>
      <w:bookmarkStart w:id="1172" w:name="xdx_904_eus-gaap--DebtConversionConverte"/>
      <w:bookmarkEnd w:id="1172"/>
      <w:r>
        <w:rPr>
          <w:rFonts w:ascii="Times New Roman;Times;Serif" w:hAnsi="Times New Roman;Times;Serif"/>
          <w:b w:val="false"/>
          <w:i w:val="false"/>
          <w:caps w:val="false"/>
          <w:smallCaps w:val="false"/>
          <w:sz w:val="20"/>
        </w:rPr>
        <w:t>0.2 million of contractual interest and approximately $</w:t>
      </w:r>
      <w:bookmarkStart w:id="1173" w:name="xdx_901_eus-gaap--AmortizationOfFinancin"/>
      <w:bookmarkEnd w:id="1173"/>
      <w:r>
        <w:rPr>
          <w:rFonts w:ascii="Times New Roman;Times;Serif" w:hAnsi="Times New Roman;Times;Serif"/>
          <w:b w:val="false"/>
          <w:i w:val="false"/>
          <w:caps w:val="false"/>
          <w:smallCaps w:val="false"/>
          <w:sz w:val="20"/>
        </w:rPr>
        <w:t>1.4 million of non-cash interest expense from the amortization of discounts and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on the Convertible Debentures substantially exceeded the </w:t>
      </w:r>
      <w:bookmarkStart w:id="1174" w:name="xdx_90D_eus-gaap--DebtInstrumentInterest"/>
      <w:bookmarkEnd w:id="1174"/>
      <w:r>
        <w:rPr>
          <w:rFonts w:ascii="Times New Roman;Times;Serif" w:hAnsi="Times New Roman;Times;Serif"/>
          <w:b w:val="false"/>
          <w:i w:val="false"/>
          <w:caps w:val="false"/>
          <w:smallCaps w:val="false"/>
          <w:sz w:val="20"/>
        </w:rPr>
        <w:t xml:space="preserve">4.0% stated coupon rate. As of December 31, 2025, based on management’s determination and intent to settle the Convertible Debentures in early 2026, the effective interest rates for the November 4, 2025 tranche and the December 17, 2025 tranche were approximately </w:t>
      </w:r>
      <w:bookmarkStart w:id="1175" w:name="xdx_90C_eus-gaap--DebtInstrumentInterest"/>
      <w:bookmarkEnd w:id="1175"/>
      <w:r>
        <w:rPr>
          <w:rFonts w:ascii="Times New Roman;Times;Serif" w:hAnsi="Times New Roman;Times;Serif"/>
          <w:b w:val="false"/>
          <w:i w:val="false"/>
          <w:caps w:val="false"/>
          <w:smallCaps w:val="false"/>
          <w:sz w:val="20"/>
        </w:rPr>
        <w:t xml:space="preserve">393.7% and </w:t>
      </w:r>
      <w:bookmarkStart w:id="1176" w:name="xdx_90B_eus-gaap--DebtInstrumentInterest"/>
      <w:bookmarkEnd w:id="1176"/>
      <w:r>
        <w:rPr>
          <w:rFonts w:ascii="Times New Roman;Times;Serif" w:hAnsi="Times New Roman;Times;Serif"/>
          <w:b w:val="false"/>
          <w:i w:val="false"/>
          <w:caps w:val="false"/>
          <w:smallCaps w:val="false"/>
          <w:sz w:val="20"/>
        </w:rPr>
        <w:t xml:space="preserve">228.9%, respectively, reflecting the accelerated amortization of unamortized discounts and issuance costs over a significantly shortened expected term. Had the Convertible Debentures been held to their contractual maturity dates, the effective interest rates would have been approximately </w:t>
      </w:r>
      <w:bookmarkStart w:id="1177" w:name="xdx_904_eus-gaap--DebtInstrumentInterest"/>
      <w:bookmarkEnd w:id="1177"/>
      <w:r>
        <w:rPr>
          <w:rFonts w:ascii="Times New Roman;Times;Serif" w:hAnsi="Times New Roman;Times;Serif"/>
          <w:b w:val="false"/>
          <w:i w:val="false"/>
          <w:caps w:val="false"/>
          <w:smallCaps w:val="false"/>
          <w:sz w:val="20"/>
        </w:rPr>
        <w:t xml:space="preserve">17.6% to </w:t>
      </w:r>
      <w:bookmarkStart w:id="1178" w:name="xdx_901_eus-gaap--DebtInstrumentInterest"/>
      <w:bookmarkEnd w:id="1178"/>
      <w:r>
        <w:rPr>
          <w:rFonts w:ascii="Times New Roman;Times;Serif" w:hAnsi="Times New Roman;Times;Serif"/>
          <w:b w:val="false"/>
          <w:i w:val="false"/>
          <w:caps w:val="false"/>
          <w:smallCaps w:val="false"/>
          <w:sz w:val="20"/>
        </w:rPr>
        <w:t>26.5%, still materially higher than the stated coupon due to the substantial original issue discount.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outstanding principal balance of the Convertible Debentures was $</w:t>
      </w:r>
      <w:bookmarkStart w:id="1179" w:name="xdx_90F_eus-gaap--DebtInstrumentIssuedPr"/>
      <w:bookmarkEnd w:id="1179"/>
      <w:r>
        <w:rPr>
          <w:rFonts w:ascii="Times New Roman;Times;Serif" w:hAnsi="Times New Roman;Times;Serif"/>
          <w:b w:val="false"/>
          <w:i w:val="false"/>
          <w:caps w:val="false"/>
          <w:smallCaps w:val="false"/>
          <w:sz w:val="20"/>
        </w:rPr>
        <w:t>50.0 million, and no principal amounts had been converted into shares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Conversion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delivered an irrevocable optional prepayment notice with respect to the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Yorkville elected to convert $</w:t>
      </w:r>
      <w:bookmarkStart w:id="1180" w:name="xdx_90D_eus-gaap--DebtConversionConverte"/>
      <w:bookmarkEnd w:id="1180"/>
      <w:r>
        <w:rPr>
          <w:rFonts w:ascii="Times New Roman;Times;Serif" w:hAnsi="Times New Roman;Times;Serif"/>
          <w:b w:val="false"/>
          <w:i w:val="false"/>
          <w:caps w:val="false"/>
          <w:smallCaps w:val="false"/>
          <w:sz w:val="20"/>
        </w:rPr>
        <w:t>15.0 million of principal into shares of the Company’s common stock at a conversion price of $</w:t>
      </w:r>
      <w:bookmarkStart w:id="1181" w:name="xdx_900_eus-gaap--DebtInstrumentConverti"/>
      <w:bookmarkEnd w:id="1181"/>
      <w:r>
        <w:rPr>
          <w:rFonts w:ascii="Times New Roman;Times;Serif" w:hAnsi="Times New Roman;Times;Serif"/>
          <w:b w:val="false"/>
          <w:i w:val="false"/>
          <w:caps w:val="false"/>
          <w:smallCaps w:val="false"/>
          <w:sz w:val="20"/>
        </w:rPr>
        <w:t xml:space="preserve">4.00 per share, resulting in the issuance of </w:t>
      </w:r>
      <w:bookmarkStart w:id="1182" w:name="xdx_901_eus-gaap--StockIssuedDuringPerio"/>
      <w:bookmarkEnd w:id="1182"/>
      <w:r>
        <w:rPr>
          <w:rFonts w:ascii="Times New Roman;Times;Serif" w:hAnsi="Times New Roman;Times;Serif"/>
          <w:b w:val="false"/>
          <w:i w:val="false"/>
          <w:caps w:val="false"/>
          <w:smallCaps w:val="false"/>
          <w:sz w:val="20"/>
        </w:rPr>
        <w:t>3,750,000 shares. No accrued interest was converted.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conversion election period, the Company prepaid the remaining amounts outstanding under the Convertible Debentures for an aggregate cash payoff of approximately $</w:t>
      </w:r>
      <w:bookmarkStart w:id="1183" w:name="xdx_904_eus-gaap--Cash_iI_pn5n6_c2026020"/>
      <w:bookmarkEnd w:id="1183"/>
      <w:r>
        <w:rPr>
          <w:rFonts w:ascii="Times New Roman;Times;Serif" w:hAnsi="Times New Roman;Times;Serif"/>
          <w:b w:val="false"/>
          <w:i w:val="false"/>
          <w:caps w:val="false"/>
          <w:smallCaps w:val="false"/>
          <w:sz w:val="20"/>
        </w:rPr>
        <w:t>38.9 million, consisting of $</w:t>
      </w:r>
      <w:bookmarkStart w:id="1184" w:name="xdx_90D_eus-gaap--DebtInstrumentFaceAmou"/>
      <w:bookmarkEnd w:id="1184"/>
      <w:r>
        <w:rPr>
          <w:rFonts w:ascii="Times New Roman;Times;Serif" w:hAnsi="Times New Roman;Times;Serif"/>
          <w:b w:val="false"/>
          <w:i w:val="false"/>
          <w:caps w:val="false"/>
          <w:smallCaps w:val="false"/>
          <w:sz w:val="20"/>
        </w:rPr>
        <w:t>35.0 million of principal, $</w:t>
      </w:r>
      <w:bookmarkStart w:id="1185" w:name="xdx_902_eus-gaap--DebtInstrumentPeriodic"/>
      <w:bookmarkEnd w:id="1185"/>
      <w:r>
        <w:rPr>
          <w:rFonts w:ascii="Times New Roman;Times;Serif" w:hAnsi="Times New Roman;Times;Serif"/>
          <w:b w:val="false"/>
          <w:i w:val="false"/>
          <w:caps w:val="false"/>
          <w:smallCaps w:val="false"/>
          <w:sz w:val="20"/>
        </w:rPr>
        <w:t>3.5 million of prepayment premium, and approximately $</w:t>
      </w:r>
      <w:bookmarkStart w:id="1186" w:name="xdx_909_eus-gaap--DebtInstrumentIncrease"/>
      <w:bookmarkEnd w:id="1186"/>
      <w:r>
        <w:rPr>
          <w:rFonts w:ascii="Times New Roman;Times;Serif" w:hAnsi="Times New Roman;Times;Serif"/>
          <w:b w:val="false"/>
          <w:i w:val="false"/>
          <w:caps w:val="false"/>
          <w:smallCaps w:val="false"/>
          <w:sz w:val="20"/>
        </w:rPr>
        <w:t>0.4 million of accrued interest. Upon payment in full, the Convertible Debentures were satisfied and terminated, and all related security interests and liens were released.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87" w:name="xdx_80F_eus-gaap--IncomeTaxDisclosureTex"/>
      <w:bookmarkEnd w:id="1187"/>
      <w:r>
        <w:rPr>
          <w:rFonts w:ascii="Times New Roman;Times;Serif" w:hAnsi="Times New Roman;Times;Serif"/>
          <w:b/>
          <w:i w:val="false"/>
          <w:caps w:val="false"/>
          <w:smallCaps w:val="false"/>
          <w:sz w:val="20"/>
        </w:rPr>
        <w:t xml:space="preserve">NOTE 16 – </w:t>
      </w:r>
      <w:bookmarkStart w:id="1188" w:name="xdx_821_zbzs3YhDVd9e"/>
      <w:bookmarkEnd w:id="1188"/>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period, the Company considered all the positive and negative evidence related to the likelihood of realization of the deferred tax assets and determined, based on the weight of available evidence, it is more likely than not that some of the deferred tax assets will be realized. As of December 31, 2025 and 2024 the Company recorded $</w:t>
      </w:r>
      <w:bookmarkStart w:id="1189" w:name="xdx_906_eus-gaap--DeferredTaxAssetsGross"/>
      <w:bookmarkEnd w:id="1189"/>
      <w:r>
        <w:rPr>
          <w:rFonts w:ascii="Times New Roman;Times;Serif" w:hAnsi="Times New Roman;Times;Serif"/>
          <w:b w:val="false"/>
          <w:i w:val="false"/>
          <w:caps w:val="false"/>
          <w:smallCaps w:val="false"/>
          <w:sz w:val="20"/>
        </w:rPr>
        <w:t>54.4 million and $</w:t>
      </w:r>
      <w:bookmarkStart w:id="1190" w:name="xdx_900_eus-gaap--DeferredTaxAssetsGross"/>
      <w:bookmarkEnd w:id="1190"/>
      <w:r>
        <w:rPr>
          <w:rFonts w:ascii="Times New Roman;Times;Serif" w:hAnsi="Times New Roman;Times;Serif"/>
          <w:b w:val="false"/>
          <w:i w:val="false"/>
          <w:caps w:val="false"/>
          <w:smallCaps w:val="false"/>
          <w:sz w:val="20"/>
        </w:rPr>
        <w:t>47.0 million of deferred tax assets before valuation allowance, respectively, which was offset by $</w:t>
      </w:r>
      <w:bookmarkStart w:id="1191" w:name="xdx_903_ecustom--DeferredTaxAssetOffset_"/>
      <w:bookmarkEnd w:id="1191"/>
      <w:r>
        <w:rPr>
          <w:rFonts w:ascii="Times New Roman;Times;Serif" w:hAnsi="Times New Roman;Times;Serif"/>
          <w:b w:val="false"/>
          <w:i w:val="false"/>
          <w:caps w:val="false"/>
          <w:smallCaps w:val="false"/>
          <w:sz w:val="20"/>
        </w:rPr>
        <w:t>53.7 million and $</w:t>
      </w:r>
      <w:bookmarkStart w:id="1192" w:name="xdx_901_ecustom--DeferredTaxAssetOffset_"/>
      <w:bookmarkEnd w:id="1192"/>
      <w:r>
        <w:rPr>
          <w:rFonts w:ascii="Times New Roman;Times;Serif" w:hAnsi="Times New Roman;Times;Serif"/>
          <w:b w:val="false"/>
          <w:i w:val="false"/>
          <w:caps w:val="false"/>
          <w:smallCaps w:val="false"/>
          <w:sz w:val="20"/>
        </w:rPr>
        <w:t>47.0 million of valuation allowance, respectively. The Company has recorded net deferred tax liabilities of $</w:t>
      </w:r>
      <w:bookmarkStart w:id="1193" w:name="xdx_905_eus-gaap--DeferredTaxAssetsLiabi"/>
      <w:bookmarkEnd w:id="1193"/>
      <w:r>
        <w:rPr>
          <w:rFonts w:ascii="Times New Roman;Times;Serif" w:hAnsi="Times New Roman;Times;Serif"/>
          <w:b w:val="false"/>
          <w:i w:val="false"/>
          <w:caps w:val="false"/>
          <w:smallCaps w:val="false"/>
          <w:sz w:val="20"/>
        </w:rPr>
        <w:t>11.4 million and $</w:t>
      </w:r>
      <w:bookmarkStart w:id="1194" w:name="xdx_900_eus-gaap--DeferredTaxAssetsLiabi"/>
      <w:bookmarkEnd w:id="1194"/>
      <w:r>
        <w:rPr>
          <w:rFonts w:ascii="Times New Roman;Times;Serif" w:hAnsi="Times New Roman;Times;Serif"/>
          <w:b w:val="false"/>
          <w:i w:val="false"/>
          <w:caps w:val="false"/>
          <w:smallCaps w:val="false"/>
          <w:sz w:val="20"/>
        </w:rPr>
        <w:t>0 as of December 31, 2025 and 2024, respectively, which have all been determined to be sources of future taxable income. The increase of $</w:t>
      </w:r>
      <w:bookmarkStart w:id="1195" w:name="xdx_90F_ecustom--DeferredIncomeTaxExpens"/>
      <w:bookmarkEnd w:id="1195"/>
      <w:r>
        <w:rPr>
          <w:rFonts w:ascii="Times New Roman;Times;Serif" w:hAnsi="Times New Roman;Times;Serif"/>
          <w:b w:val="false"/>
          <w:i w:val="false"/>
          <w:caps w:val="false"/>
          <w:smallCaps w:val="false"/>
          <w:sz w:val="20"/>
        </w:rPr>
        <w:t>6.7 million of the valuation allowance is based on cumulative negative operating results over the prior three-year period and expectations about generating U.S. taxable income in the future. The remaining valuation allowance relates primarily to anticipated expirations of U.S. net operating losses prior to utilization based on our forecasts of future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6" w:name="xdx_899_eus-gaap--ScheduleOfIncomeBefore"/>
      <w:bookmarkEnd w:id="1196"/>
      <w:r>
        <w:rPr>
          <w:rFonts w:ascii="Times New Roman;Times;Serif" w:hAnsi="Times New Roman;Times;Serif"/>
          <w:b w:val="false"/>
          <w:i w:val="false"/>
          <w:caps w:val="false"/>
          <w:smallCaps w:val="false"/>
          <w:sz w:val="20"/>
        </w:rPr>
        <w:t>(a) Composition of income before income taxes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97" w:name="xdx_8B5_z6v1JC4GMG71"/>
      <w:bookmarkEnd w:id="1197"/>
      <w:r>
        <w:rPr>
          <w:rFonts w:ascii="Times New Roman;Times;Serif" w:hAnsi="Times New Roman;Times;Serif"/>
          <w:b w:val="false"/>
          <w:i w:val="false"/>
          <w:caps w:val="false"/>
          <w:smallCaps w:val="false"/>
          <w:sz w:val="20"/>
        </w:rPr>
        <w:t>SCHEDULE OF COMPOSITION OF INCOME BEFORE INCOME TAXES</w:t>
      </w:r>
    </w:p>
    <w:tbl>
      <w:tblPr>
        <w:tblW w:w="4708" w:type="dxa"/>
        <w:jc w:val="left"/>
        <w:tblInd w:w="0" w:type="dxa"/>
        <w:tblLayout w:type="fixed"/>
        <w:tblCellMar>
          <w:top w:w="0" w:type="dxa"/>
          <w:left w:w="0" w:type="dxa"/>
          <w:bottom w:w="0" w:type="dxa"/>
          <w:right w:w="0" w:type="dxa"/>
        </w:tblCellMar>
      </w:tblPr>
      <w:tblGrid>
        <w:gridCol w:w="1880"/>
        <w:gridCol w:w="60"/>
        <w:gridCol w:w="180"/>
        <w:gridCol w:w="1127"/>
        <w:gridCol w:w="122"/>
        <w:gridCol w:w="77"/>
        <w:gridCol w:w="180"/>
        <w:gridCol w:w="972"/>
        <w:gridCol w:w="110"/>
      </w:tblGrid>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98" w:name="xdx_496_20250101__20251231_zqIuNqaAZcM"/>
            <w:bookmarkEnd w:id="1198"/>
          </w:p>
        </w:tc>
        <w:tc>
          <w:tcPr>
            <w:tcW w:w="1307"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bookmarkStart w:id="1199" w:name="xdx_49B_20240101__20241231_zv8NfLG0v0F1"/>
            <w:bookmarkEnd w:id="1199"/>
          </w:p>
        </w:tc>
        <w:tc>
          <w:tcPr>
            <w:tcW w:w="1152"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both"/>
              <w:rPr/>
            </w:pPr>
            <w:r>
              <w:rPr/>
              <w:t>Pre Tax Book Loss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0" w:name="xdx_40F_eus-gaap--IncomeLossFromContinui"/>
            <w:bookmarkEnd w:id="1200"/>
          </w:p>
        </w:tc>
      </w:tr>
      <w:tr>
        <w:trPr/>
        <w:tc>
          <w:tcPr>
            <w:tcW w:w="1880" w:type="dxa"/>
            <w:tcBorders/>
            <w:shd w:fill="FFFFFF" w:val="clear"/>
            <w:vAlign w:val="center"/>
          </w:tcPr>
          <w:p>
            <w:pPr>
              <w:pStyle w:val="TableContents"/>
              <w:bidi w:val="0"/>
              <w:spacing w:before="0" w:after="283"/>
              <w:jc w:val="both"/>
              <w:rPr/>
            </w:pPr>
            <w:r>
              <w:rPr/>
              <w:t>Domestic</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127" w:type="dxa"/>
            <w:tcBorders/>
            <w:shd w:fill="FFFFFF" w:val="clear"/>
            <w:vAlign w:val="center"/>
          </w:tcPr>
          <w:p>
            <w:pPr>
              <w:pStyle w:val="TableContents"/>
              <w:bidi w:val="0"/>
              <w:spacing w:before="0" w:after="283"/>
              <w:jc w:val="right"/>
              <w:rPr/>
            </w:pPr>
            <w:r>
              <w:rPr/>
              <w:t>(458,588</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2" w:type="dxa"/>
            <w:tcBorders/>
            <w:shd w:fill="FFFFFF" w:val="clear"/>
            <w:vAlign w:val="center"/>
          </w:tcPr>
          <w:p>
            <w:pPr>
              <w:pStyle w:val="TableContents"/>
              <w:bidi w:val="0"/>
              <w:spacing w:before="0" w:after="283"/>
              <w:jc w:val="right"/>
              <w:rPr/>
            </w:pPr>
            <w:r>
              <w:rPr/>
              <w:t>(10,339</w:t>
            </w:r>
          </w:p>
        </w:tc>
        <w:tc>
          <w:tcPr>
            <w:tcW w:w="110" w:type="dxa"/>
            <w:tcBorders/>
            <w:shd w:fill="FFFFFF" w:val="clear"/>
            <w:vAlign w:val="center"/>
          </w:tcPr>
          <w:p>
            <w:pPr>
              <w:pStyle w:val="TableContents"/>
              <w:bidi w:val="0"/>
              <w:spacing w:before="0" w:after="283"/>
              <w:jc w:val="left"/>
              <w:rPr/>
            </w:pPr>
            <w:r>
              <w:rPr/>
              <w:t>)</w:t>
            </w:r>
            <w:bookmarkStart w:id="1201" w:name="xdx_40A_eus-gaap--IncomeLossFromContinui"/>
            <w:bookmarkEnd w:id="1201"/>
          </w:p>
        </w:tc>
      </w:tr>
      <w:tr>
        <w:trPr/>
        <w:tc>
          <w:tcPr>
            <w:tcW w:w="1880" w:type="dxa"/>
            <w:tcBorders/>
            <w:shd w:fill="CCEEFF" w:val="clear"/>
            <w:vAlign w:val="center"/>
          </w:tcPr>
          <w:p>
            <w:pPr>
              <w:pStyle w:val="TableContents"/>
              <w:bidi w:val="0"/>
              <w:spacing w:before="0" w:after="283"/>
              <w:jc w:val="both"/>
              <w:rPr/>
            </w:pPr>
            <w:r>
              <w:rPr/>
              <w:t>Foreign</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(5,426</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02" w:name="xdx_407_eus-gaap--IncomeLossFromContinui"/>
            <w:bookmarkEnd w:id="1202"/>
          </w:p>
        </w:tc>
      </w:tr>
      <w:tr>
        <w:trPr/>
        <w:tc>
          <w:tcPr>
            <w:tcW w:w="188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jc w:val="right"/>
              <w:rPr/>
            </w:pPr>
            <w:r>
              <w:rPr/>
              <w:t>(464,014</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jc w:val="right"/>
              <w:rPr/>
            </w:pPr>
            <w:r>
              <w:rPr/>
              <w:t>(10,339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203" w:name="xdx_8AF_z8r8GNcn9vK"/>
      <w:bookmarkEnd w:id="120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4" w:name="xdx_895_eus-gaap--ScheduleOfComponentsOf"/>
      <w:bookmarkEnd w:id="1204"/>
      <w:r>
        <w:rPr>
          <w:rFonts w:ascii="Times New Roman;Times;Serif" w:hAnsi="Times New Roman;Times;Serif"/>
          <w:b w:val="false"/>
          <w:i w:val="false"/>
          <w:caps w:val="false"/>
          <w:smallCaps w:val="false"/>
          <w:sz w:val="20"/>
        </w:rPr>
        <w:t>Income tax (benefit) expense consists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5" w:name="xdx_8B8_zAhMsfTnduq7"/>
      <w:bookmarkEnd w:id="1205"/>
      <w:r>
        <w:rPr>
          <w:rFonts w:ascii="Times New Roman;Times;Serif" w:hAnsi="Times New Roman;Times;Serif"/>
          <w:b w:val="false"/>
          <w:i w:val="false"/>
          <w:caps w:val="false"/>
          <w:smallCaps w:val="false"/>
          <w:sz w:val="20"/>
        </w:rPr>
        <w:t>SCHEDULE OF INCOME TAX (BENEFIT) EXPENSE</w:t>
      </w:r>
    </w:p>
    <w:tbl>
      <w:tblPr>
        <w:tblW w:w="6905" w:type="dxa"/>
        <w:jc w:val="left"/>
        <w:tblInd w:w="0" w:type="dxa"/>
        <w:tblLayout w:type="fixed"/>
        <w:tblCellMar>
          <w:top w:w="0" w:type="dxa"/>
          <w:left w:w="0" w:type="dxa"/>
          <w:bottom w:w="0" w:type="dxa"/>
          <w:right w:w="0" w:type="dxa"/>
        </w:tblCellMar>
      </w:tblPr>
      <w:tblGrid>
        <w:gridCol w:w="4115"/>
        <w:gridCol w:w="60"/>
        <w:gridCol w:w="319"/>
        <w:gridCol w:w="1449"/>
        <w:gridCol w:w="216"/>
        <w:gridCol w:w="136"/>
        <w:gridCol w:w="319"/>
        <w:gridCol w:w="216"/>
        <w:gridCol w:w="75"/>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06" w:name="xdx_49B_20250101__20251231_zNdRCjrjMFpk"/>
            <w:bookmarkEnd w:id="1206"/>
          </w:p>
        </w:tc>
        <w:tc>
          <w:tcPr>
            <w:tcW w:w="176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216" w:type="dxa"/>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center"/>
              <w:rPr/>
            </w:pPr>
            <w:r>
              <w:rPr/>
              <w:t> </w:t>
            </w:r>
            <w:bookmarkStart w:id="1207" w:name="xdx_490_20240101__20241231_zkcmfwFDwTv7"/>
            <w:bookmarkEnd w:id="1207"/>
          </w:p>
        </w:tc>
        <w:tc>
          <w:tcPr>
            <w:tcW w:w="5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Current:</w:t>
            </w:r>
          </w:p>
        </w:tc>
        <w:tc>
          <w:tcPr>
            <w:tcW w:w="60" w:type="dxa"/>
            <w:tcBorders/>
            <w:shd w:fill="CCEEFF" w:val="clear"/>
            <w:vAlign w:val="center"/>
          </w:tcPr>
          <w:p>
            <w:pPr>
              <w:pStyle w:val="TableContents"/>
              <w:bidi w:val="0"/>
              <w:spacing w:before="0" w:after="283"/>
              <w:jc w:val="left"/>
              <w:rPr/>
            </w:pPr>
            <w:r>
              <w:rPr/>
              <w:t> </w:t>
            </w:r>
          </w:p>
        </w:tc>
        <w:tc>
          <w:tcPr>
            <w:tcW w:w="1768" w:type="dxa"/>
            <w:gridSpan w:val="2"/>
            <w:tcBorders/>
            <w:shd w:fill="CCEEFF" w:val="clear"/>
            <w:vAlign w:val="center"/>
          </w:tcPr>
          <w:p>
            <w:pPr>
              <w:pStyle w:val="TableContents"/>
              <w:bidi w:val="0"/>
              <w:spacing w:before="0" w:after="283"/>
              <w:jc w:val="both"/>
              <w:rPr/>
            </w:pPr>
            <w:r>
              <w:rPr/>
              <w:t> </w:t>
            </w:r>
          </w:p>
        </w:tc>
        <w:tc>
          <w:tcPr>
            <w:tcW w:w="21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35" w:type="dxa"/>
            <w:gridSpan w:val="2"/>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bookmarkStart w:id="1208" w:name="xdx_40C_eus-gaap--CurrentFederalTaxExpen"/>
            <w:bookmarkEnd w:id="1208"/>
          </w:p>
        </w:tc>
      </w:tr>
      <w:tr>
        <w:trPr/>
        <w:tc>
          <w:tcPr>
            <w:tcW w:w="4115" w:type="dxa"/>
            <w:tcBorders/>
            <w:shd w:fill="FFFFFF" w:val="clear"/>
            <w:vAlign w:val="center"/>
          </w:tcPr>
          <w:p>
            <w:pPr>
              <w:pStyle w:val="TableContents"/>
              <w:bidi w:val="0"/>
              <w:spacing w:before="0" w:after="283"/>
              <w:jc w:val="both"/>
              <w:rPr/>
            </w:pPr>
            <w:r>
              <w:rPr/>
              <w:t>Federal</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w:t>
            </w:r>
          </w:p>
        </w:tc>
        <w:tc>
          <w:tcPr>
            <w:tcW w:w="21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p>
        </w:tc>
        <w:tc>
          <w:tcPr>
            <w:tcW w:w="2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209" w:name="xdx_407_eus-gaap--CurrentStateAndLocalTa"/>
            <w:bookmarkEnd w:id="1209"/>
          </w:p>
        </w:tc>
      </w:tr>
      <w:tr>
        <w:trPr/>
        <w:tc>
          <w:tcPr>
            <w:tcW w:w="4115" w:type="dxa"/>
            <w:tcBorders/>
            <w:shd w:fill="CCEEFF" w:val="clear"/>
            <w:vAlign w:val="center"/>
          </w:tcPr>
          <w:p>
            <w:pPr>
              <w:pStyle w:val="TableContents"/>
              <w:bidi w:val="0"/>
              <w:spacing w:before="0" w:after="283"/>
              <w:jc w:val="both"/>
              <w:rPr/>
            </w:pPr>
            <w:r>
              <w:rPr/>
              <w:t>State</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w:t>
            </w:r>
          </w:p>
        </w:tc>
        <w:tc>
          <w:tcPr>
            <w:tcW w:w="21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10" w:name="xdx_401_eus-gaap--CurrentFederalStateAnd"/>
            <w:bookmarkEnd w:id="1210"/>
          </w:p>
        </w:tc>
      </w:tr>
      <w:tr>
        <w:trPr/>
        <w:tc>
          <w:tcPr>
            <w:tcW w:w="4115" w:type="dxa"/>
            <w:tcBorders/>
            <w:shd w:fill="FFFFFF" w:val="clear"/>
            <w:vAlign w:val="center"/>
          </w:tcPr>
          <w:p>
            <w:pPr>
              <w:pStyle w:val="TableContents"/>
              <w:bidi w:val="0"/>
              <w:spacing w:before="0" w:after="283"/>
              <w:jc w:val="both"/>
              <w:rPr/>
            </w:pPr>
            <w:r>
              <w:rPr/>
              <w:t>Foreign</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211" w:name="xdx_401_eus-gaap--CurrentIncomeTaxExpens"/>
            <w:bookmarkEnd w:id="1211"/>
          </w:p>
        </w:tc>
      </w:tr>
      <w:tr>
        <w:trPr/>
        <w:tc>
          <w:tcPr>
            <w:tcW w:w="4115" w:type="dxa"/>
            <w:tcBorders/>
            <w:shd w:fill="CCEEFF" w:val="clear"/>
            <w:vAlign w:val="center"/>
          </w:tcPr>
          <w:p>
            <w:pPr>
              <w:pStyle w:val="TableContents"/>
              <w:bidi w:val="0"/>
              <w:spacing w:before="0" w:after="283"/>
              <w:jc w:val="both"/>
              <w:rPr/>
            </w:pPr>
            <w:r>
              <w:rPr/>
              <w:t>Current income tax provision</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21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Deferred:</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212" w:name="xdx_40B_eus-gaap--DeferredFederalIncomeT"/>
            <w:bookmarkEnd w:id="1212"/>
          </w:p>
        </w:tc>
      </w:tr>
      <w:tr>
        <w:trPr/>
        <w:tc>
          <w:tcPr>
            <w:tcW w:w="4115" w:type="dxa"/>
            <w:tcBorders/>
            <w:shd w:fill="CCEEFF" w:val="clear"/>
            <w:vAlign w:val="center"/>
          </w:tcPr>
          <w:p>
            <w:pPr>
              <w:pStyle w:val="TableContents"/>
              <w:bidi w:val="0"/>
              <w:spacing w:before="0" w:after="283"/>
              <w:jc w:val="both"/>
              <w:rPr/>
            </w:pPr>
            <w:r>
              <w:rPr/>
              <w:t>Federal</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(7,002</w:t>
            </w:r>
          </w:p>
        </w:tc>
        <w:tc>
          <w:tcPr>
            <w:tcW w:w="216"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13" w:name="xdx_40B_eus-gaap--DeferredStateAndLocalI"/>
            <w:bookmarkEnd w:id="1213"/>
          </w:p>
        </w:tc>
      </w:tr>
      <w:tr>
        <w:trPr/>
        <w:tc>
          <w:tcPr>
            <w:tcW w:w="4115" w:type="dxa"/>
            <w:tcBorders/>
            <w:shd w:fill="FFFFFF" w:val="clear"/>
            <w:vAlign w:val="center"/>
          </w:tcPr>
          <w:p>
            <w:pPr>
              <w:pStyle w:val="TableContents"/>
              <w:bidi w:val="0"/>
              <w:spacing w:before="0" w:after="283"/>
              <w:jc w:val="both"/>
              <w:rPr/>
            </w:pPr>
            <w:r>
              <w:rPr/>
              <w:t>State and local</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297</w:t>
            </w:r>
          </w:p>
        </w:tc>
        <w:tc>
          <w:tcPr>
            <w:tcW w:w="21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214" w:name="xdx_403_eus-gaap--DeferredForeignIncomeT"/>
            <w:bookmarkEnd w:id="1214"/>
          </w:p>
        </w:tc>
      </w:tr>
      <w:tr>
        <w:trPr/>
        <w:tc>
          <w:tcPr>
            <w:tcW w:w="4115" w:type="dxa"/>
            <w:tcBorders/>
            <w:shd w:fill="CCEEFF" w:val="clear"/>
            <w:vAlign w:val="center"/>
          </w:tcPr>
          <w:p>
            <w:pPr>
              <w:pStyle w:val="TableContents"/>
              <w:bidi w:val="0"/>
              <w:spacing w:before="0" w:after="283"/>
              <w:jc w:val="both"/>
              <w:rPr/>
            </w:pPr>
            <w:r>
              <w:rPr/>
              <w:t>Foreign</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(1,257</w:t>
            </w:r>
          </w:p>
        </w:tc>
        <w:tc>
          <w:tcPr>
            <w:tcW w:w="216"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15" w:name="xdx_401_ecustom--DeferredIncomeTaxExpens"/>
            <w:bookmarkEnd w:id="1215"/>
          </w:p>
        </w:tc>
      </w:tr>
      <w:tr>
        <w:trPr/>
        <w:tc>
          <w:tcPr>
            <w:tcW w:w="4115" w:type="dxa"/>
            <w:tcBorders/>
            <w:shd w:fill="FFFFFF" w:val="clear"/>
            <w:vAlign w:val="center"/>
          </w:tcPr>
          <w:p>
            <w:pPr>
              <w:pStyle w:val="TableContents"/>
              <w:bidi w:val="0"/>
              <w:spacing w:before="0" w:after="283"/>
              <w:jc w:val="both"/>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6,706</w:t>
            </w:r>
          </w:p>
        </w:tc>
        <w:tc>
          <w:tcPr>
            <w:tcW w:w="21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216" w:name="xdx_409_eus-gaap--DeferredIncomeTaxExpen"/>
            <w:bookmarkEnd w:id="1216"/>
          </w:p>
        </w:tc>
      </w:tr>
      <w:tr>
        <w:trPr/>
        <w:tc>
          <w:tcPr>
            <w:tcW w:w="4115" w:type="dxa"/>
            <w:tcBorders/>
            <w:shd w:fill="CCEEFF" w:val="clear"/>
            <w:vAlign w:val="center"/>
          </w:tcPr>
          <w:p>
            <w:pPr>
              <w:pStyle w:val="TableContents"/>
              <w:bidi w:val="0"/>
              <w:spacing w:before="0" w:after="283"/>
              <w:jc w:val="both"/>
              <w:rPr/>
            </w:pPr>
            <w:r>
              <w:rPr/>
              <w:t>Net deferred income tax provision (benefit)</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(1,256</w:t>
            </w:r>
          </w:p>
        </w:tc>
        <w:tc>
          <w:tcPr>
            <w:tcW w:w="216"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17" w:name="xdx_405_eus-gaap--IncomeTaxExpenseBenefi"/>
            <w:bookmarkEnd w:id="1217"/>
          </w:p>
        </w:tc>
      </w:tr>
      <w:tr>
        <w:trPr/>
        <w:tc>
          <w:tcPr>
            <w:tcW w:w="4115" w:type="dxa"/>
            <w:tcBorders/>
            <w:shd w:fill="FFFFFF" w:val="clear"/>
            <w:vAlign w:val="center"/>
          </w:tcPr>
          <w:p>
            <w:pPr>
              <w:pStyle w:val="TableContents"/>
              <w:bidi w:val="0"/>
              <w:spacing w:before="0" w:after="283"/>
              <w:jc w:val="both"/>
              <w:rPr/>
            </w:pPr>
            <w:r>
              <w:rPr/>
              <w:t>Total income tax provision (benefit)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double" w:sz="6" w:space="0" w:color="000000"/>
            </w:tcBorders>
            <w:shd w:fill="FFFFFF" w:val="clear"/>
            <w:tcMar>
              <w:bottom w:w="28" w:type="dxa"/>
            </w:tcMar>
            <w:vAlign w:val="center"/>
          </w:tcPr>
          <w:p>
            <w:pPr>
              <w:pStyle w:val="TableContents"/>
              <w:bidi w:val="0"/>
              <w:spacing w:before="0" w:after="283"/>
              <w:jc w:val="right"/>
              <w:rPr/>
            </w:pPr>
            <w:r>
              <w:rPr/>
              <w:t>(1,254</w:t>
            </w:r>
          </w:p>
        </w:tc>
        <w:tc>
          <w:tcPr>
            <w:tcW w:w="216" w:type="dxa"/>
            <w:tcBorders/>
            <w:shd w:fill="FFFFFF" w:val="clear"/>
            <w:vAlign w:val="center"/>
          </w:tcPr>
          <w:p>
            <w:pPr>
              <w:pStyle w:val="TableContents"/>
              <w:bidi w:val="0"/>
              <w:spacing w:before="0" w:after="283"/>
              <w:jc w:val="left"/>
              <w:rPr/>
            </w:pPr>
            <w:r>
              <w:rPr/>
              <w:t>)</w:t>
            </w:r>
          </w:p>
        </w:tc>
        <w:tc>
          <w:tcPr>
            <w:tcW w:w="13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18" w:name="xdx_8AA_zW4UUrt1s448"/>
      <w:bookmarkEnd w:id="121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did not make any material cash payments for income taxes in the United States or foreign jurisdictions. Cash taxes paid during the periods presented were not material and primarily related to state minimum taxes and other non-income-based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Effective Income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9" w:name="xdx_891_eus-gaap--ScheduleOfEffectiveInc"/>
      <w:bookmarkEnd w:id="1219"/>
      <w:r>
        <w:rPr>
          <w:rFonts w:ascii="Times New Roman;Times;Serif" w:hAnsi="Times New Roman;Times;Serif"/>
          <w:b w:val="false"/>
          <w:i w:val="false"/>
          <w:caps w:val="false"/>
          <w:smallCaps w:val="false"/>
          <w:sz w:val="20"/>
        </w:rPr>
        <w:t>Set forth below is a reconciliation between the federal tax rate and the Company’s effective income tax rates with respect to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220" w:name="xdx_8BC_zsr8xOvsdxva"/>
      <w:bookmarkEnd w:id="1220"/>
      <w:r>
        <w:rPr>
          <w:rFonts w:ascii="Times New Roman;Times;Serif" w:hAnsi="Times New Roman;Times;Serif"/>
          <w:b w:val="false"/>
          <w:i w:val="false"/>
          <w:caps w:val="false"/>
          <w:smallCaps w:val="false"/>
          <w:sz w:val="20"/>
        </w:rPr>
        <w:t>SCHEDULE OF EFFECTIVE INCOME TAX RATE RECONCILIATION</w:t>
      </w:r>
    </w:p>
    <w:tbl>
      <w:tblPr>
        <w:tblW w:w="9131" w:type="dxa"/>
        <w:jc w:val="left"/>
        <w:tblInd w:w="0" w:type="dxa"/>
        <w:tblLayout w:type="fixed"/>
        <w:tblCellMar>
          <w:top w:w="0" w:type="dxa"/>
          <w:left w:w="0" w:type="dxa"/>
          <w:bottom w:w="0" w:type="dxa"/>
          <w:right w:w="0" w:type="dxa"/>
        </w:tblCellMar>
      </w:tblPr>
      <w:tblGrid>
        <w:gridCol w:w="6110"/>
        <w:gridCol w:w="60"/>
        <w:gridCol w:w="257"/>
        <w:gridCol w:w="1389"/>
        <w:gridCol w:w="174"/>
        <w:gridCol w:w="110"/>
        <w:gridCol w:w="110"/>
        <w:gridCol w:w="616"/>
        <w:gridCol w:w="305"/>
      </w:tblGrid>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21" w:name="xdx_497_20250101__20251231_zA11Z9owivB1"/>
            <w:bookmarkEnd w:id="1221"/>
          </w:p>
        </w:tc>
        <w:tc>
          <w:tcPr>
            <w:tcW w:w="1646"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74"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center"/>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305"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05" w:type="dxa"/>
            <w:tcBorders/>
            <w:vAlign w:val="center"/>
          </w:tcPr>
          <w:p>
            <w:pPr>
              <w:pStyle w:val="TableContents"/>
              <w:bidi w:val="0"/>
              <w:spacing w:before="0" w:after="283"/>
              <w:jc w:val="left"/>
              <w:rPr/>
            </w:pPr>
            <w:r>
              <w:rPr/>
              <w:t> </w:t>
            </w:r>
            <w:bookmarkStart w:id="1222" w:name="xdx_409_eus-gaap--IncomeTaxReconciliatio"/>
            <w:bookmarkEnd w:id="1222"/>
          </w:p>
        </w:tc>
      </w:tr>
      <w:tr>
        <w:trPr/>
        <w:tc>
          <w:tcPr>
            <w:tcW w:w="6110" w:type="dxa"/>
            <w:tcBorders/>
            <w:shd w:fill="CCEEFF" w:val="clear"/>
            <w:vAlign w:val="center"/>
          </w:tcPr>
          <w:p>
            <w:pPr>
              <w:pStyle w:val="TableContents"/>
              <w:bidi w:val="0"/>
              <w:spacing w:before="0" w:after="283"/>
              <w:jc w:val="left"/>
              <w:rPr/>
            </w:pPr>
            <w:r>
              <w:rPr/>
              <w:t>Expected income tax benefit at the U.S. federal statutory tax rate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389" w:type="dxa"/>
            <w:tcBorders/>
            <w:shd w:fill="CCEEFF" w:val="clear"/>
            <w:vAlign w:val="center"/>
          </w:tcPr>
          <w:p>
            <w:pPr>
              <w:pStyle w:val="TableContents"/>
              <w:bidi w:val="0"/>
              <w:spacing w:before="0" w:after="283"/>
              <w:jc w:val="right"/>
              <w:rPr/>
            </w:pPr>
            <w:r>
              <w:rPr/>
              <w:t>(97,443</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223" w:name="xdx_98A_eus-gaap--EffectiveIncomeTaxRate"/>
            <w:bookmarkEnd w:id="1223"/>
          </w:p>
        </w:tc>
        <w:tc>
          <w:tcPr>
            <w:tcW w:w="616" w:type="dxa"/>
            <w:tcBorders/>
            <w:shd w:fill="CCEEFF" w:val="clear"/>
            <w:vAlign w:val="center"/>
          </w:tcPr>
          <w:p>
            <w:pPr>
              <w:pStyle w:val="TableContents"/>
              <w:bidi w:val="0"/>
              <w:spacing w:before="0" w:after="283"/>
              <w:jc w:val="right"/>
              <w:rPr/>
            </w:pPr>
            <w:r>
              <w:rPr/>
              <w:t>21</w:t>
            </w:r>
          </w:p>
        </w:tc>
        <w:tc>
          <w:tcPr>
            <w:tcW w:w="305" w:type="dxa"/>
            <w:tcBorders/>
            <w:shd w:fill="CCEEFF" w:val="clear"/>
            <w:vAlign w:val="center"/>
          </w:tcPr>
          <w:p>
            <w:pPr>
              <w:pStyle w:val="TableContents"/>
              <w:bidi w:val="0"/>
              <w:spacing w:before="0" w:after="283"/>
              <w:jc w:val="left"/>
              <w:rPr/>
            </w:pPr>
            <w:r>
              <w:rPr/>
              <w:t>%</w:t>
            </w:r>
            <w:bookmarkStart w:id="1224" w:name="xdx_404_eus-gaap--IncomeTaxReconciliatio"/>
            <w:bookmarkEnd w:id="1224"/>
          </w:p>
        </w:tc>
      </w:tr>
      <w:tr>
        <w:trPr/>
        <w:tc>
          <w:tcPr>
            <w:tcW w:w="6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and local taxes, net of federal benefit</w:t>
            </w:r>
            <w:bookmarkStart w:id="1225" w:name="xdx_F42_zvgYcftsV3nh"/>
            <w:bookmarkEnd w:id="1225"/>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26" w:name="xdx_98E_eus-gaap--EffectiveIncomeTaxRate"/>
            <w:bookmarkEnd w:id="1226"/>
          </w:p>
        </w:tc>
        <w:tc>
          <w:tcPr>
            <w:tcW w:w="616"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bookmarkStart w:id="1227" w:name="xdx_401_eus-gaap--IncomeTaxReconciliatio"/>
            <w:bookmarkEnd w:id="1227"/>
          </w:p>
        </w:tc>
      </w:tr>
      <w:tr>
        <w:trPr/>
        <w:tc>
          <w:tcPr>
            <w:tcW w:w="611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(118</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228" w:name="xdx_986_eus-gaap--EffectiveIncomeTaxRate"/>
            <w:bookmarkEnd w:id="1228"/>
          </w:p>
        </w:tc>
        <w:tc>
          <w:tcPr>
            <w:tcW w:w="616"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1229" w:name="xdx_40B_eus-gaap--EffectiveIncomeTaxRate"/>
            <w:bookmarkEnd w:id="1229"/>
          </w:p>
        </w:tc>
      </w:tr>
      <w:tr>
        <w:trPr/>
        <w:tc>
          <w:tcPr>
            <w:tcW w:w="6110" w:type="dxa"/>
            <w:tcBorders/>
            <w:shd w:fill="FFFFFF" w:val="clear"/>
            <w:vAlign w:val="center"/>
          </w:tcPr>
          <w:p>
            <w:pPr>
              <w:pStyle w:val="TableContents"/>
              <w:bidi w:val="0"/>
              <w:spacing w:before="0" w:after="283"/>
              <w:jc w:val="left"/>
              <w:rPr>
                <w:sz w:val="20"/>
              </w:rPr>
            </w:pPr>
            <w:r>
              <w:rPr>
                <w:sz w:val="20"/>
              </w:rPr>
              <w:t>Effects of cross-border tax laws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sz w:val="20"/>
              </w:rPr>
            </w:pPr>
            <w:r>
              <w:rPr>
                <w:sz w:val="20"/>
              </w:rPr>
              <w:t>-</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30" w:name="xdx_983_eus-gaap--EffectiveIncomeTaxRate"/>
            <w:bookmarkEnd w:id="1230"/>
          </w:p>
        </w:tc>
        <w:tc>
          <w:tcPr>
            <w:tcW w:w="616" w:type="dxa"/>
            <w:tcBorders/>
            <w:shd w:fill="FFFFFF" w:val="clear"/>
            <w:vAlign w:val="center"/>
          </w:tcPr>
          <w:p>
            <w:pPr>
              <w:pStyle w:val="TableContents"/>
              <w:bidi w:val="0"/>
              <w:spacing w:before="0" w:after="283"/>
              <w:jc w:val="right"/>
              <w:rPr>
                <w:sz w:val="20"/>
              </w:rPr>
            </w:pPr>
            <w:r>
              <w:rPr>
                <w:sz w:val="20"/>
              </w:rPr>
              <w:t>-</w:t>
            </w:r>
          </w:p>
        </w:tc>
        <w:tc>
          <w:tcPr>
            <w:tcW w:w="305" w:type="dxa"/>
            <w:tcBorders/>
            <w:shd w:fill="FFFFFF" w:val="clear"/>
            <w:vAlign w:val="center"/>
          </w:tcPr>
          <w:p>
            <w:pPr>
              <w:pStyle w:val="TableContents"/>
              <w:bidi w:val="0"/>
              <w:spacing w:before="0" w:after="283"/>
              <w:jc w:val="left"/>
              <w:rPr>
                <w:sz w:val="20"/>
              </w:rPr>
            </w:pPr>
            <w:r>
              <w:rPr>
                <w:sz w:val="20"/>
              </w:rPr>
              <w:t>%</w:t>
            </w:r>
            <w:bookmarkStart w:id="1231" w:name="xdx_400_eus-gaap--IncomeTaxReconciliatio"/>
            <w:bookmarkEnd w:id="1231"/>
          </w:p>
        </w:tc>
      </w:tr>
      <w:tr>
        <w:trPr/>
        <w:tc>
          <w:tcPr>
            <w:tcW w:w="6110" w:type="dxa"/>
            <w:tcBorders/>
            <w:shd w:fill="CCEEFF" w:val="clear"/>
            <w:vAlign w:val="center"/>
          </w:tcPr>
          <w:p>
            <w:pPr>
              <w:pStyle w:val="TableContents"/>
              <w:bidi w:val="0"/>
              <w:spacing w:before="0" w:after="283"/>
              <w:jc w:val="left"/>
              <w:rPr/>
            </w:pPr>
            <w:r>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110</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232" w:name="xdx_98B_eus-gaap--EffectiveIncomeTaxRate"/>
            <w:bookmarkEnd w:id="1232"/>
          </w:p>
        </w:tc>
        <w:tc>
          <w:tcPr>
            <w:tcW w:w="616"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1233" w:name="xdx_407_eus-gaap--IncomeTaxReconciliatio"/>
            <w:bookmarkEnd w:id="1233"/>
          </w:p>
        </w:tc>
      </w:tr>
      <w:tr>
        <w:trPr/>
        <w:tc>
          <w:tcPr>
            <w:tcW w:w="6110" w:type="dxa"/>
            <w:tcBorders/>
            <w:shd w:fill="FFFFFF" w:val="clear"/>
            <w:vAlign w:val="center"/>
          </w:tcPr>
          <w:p>
            <w:pPr>
              <w:pStyle w:val="TableContents"/>
              <w:bidi w:val="0"/>
              <w:spacing w:before="0" w:after="283"/>
              <w:jc w:val="left"/>
              <w:rPr/>
            </w:pPr>
            <w:r>
              <w:rPr/>
              <w:t>Changes in valuation allowance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9,075</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34" w:name="xdx_98E_eus-gaap--EffectiveIncomeTaxRate"/>
            <w:bookmarkEnd w:id="1234"/>
          </w:p>
        </w:tc>
        <w:tc>
          <w:tcPr>
            <w:tcW w:w="616" w:type="dxa"/>
            <w:tcBorders/>
            <w:shd w:fill="FFFFFF" w:val="clear"/>
            <w:vAlign w:val="center"/>
          </w:tcPr>
          <w:p>
            <w:pPr>
              <w:pStyle w:val="TableContents"/>
              <w:bidi w:val="0"/>
              <w:spacing w:before="0" w:after="283"/>
              <w:jc w:val="right"/>
              <w:rPr/>
            </w:pPr>
            <w:r>
              <w:rPr/>
              <w:t>(2</w:t>
            </w:r>
          </w:p>
        </w:tc>
        <w:tc>
          <w:tcPr>
            <w:tcW w:w="305" w:type="dxa"/>
            <w:tcBorders/>
            <w:shd w:fill="FFFFFF" w:val="clear"/>
            <w:vAlign w:val="center"/>
          </w:tcPr>
          <w:p>
            <w:pPr>
              <w:pStyle w:val="TableContents"/>
              <w:bidi w:val="0"/>
              <w:spacing w:before="0" w:after="283"/>
              <w:jc w:val="left"/>
              <w:rPr/>
            </w:pPr>
            <w:r>
              <w:rPr/>
              <w:t>)%</w:t>
            </w:r>
            <w:bookmarkStart w:id="1235" w:name="xdx_40A_eus-gaap--IncomeTaxReconciliatio"/>
            <w:bookmarkEnd w:id="1235"/>
          </w:p>
        </w:tc>
      </w:tr>
      <w:tr>
        <w:trPr/>
        <w:tc>
          <w:tcPr>
            <w:tcW w:w="6110"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1236" w:name="xdx_40C_ecustom--IncomeTaxReconciliation"/>
            <w:bookmarkEnd w:id="1236"/>
          </w:p>
        </w:tc>
      </w:tr>
      <w:tr>
        <w:trPr/>
        <w:tc>
          <w:tcPr>
            <w:tcW w:w="6110" w:type="dxa"/>
            <w:tcBorders/>
            <w:shd w:fill="FFFFFF" w:val="clear"/>
            <w:vAlign w:val="center"/>
          </w:tcPr>
          <w:p>
            <w:pPr>
              <w:pStyle w:val="TableContents"/>
              <w:bidi w:val="0"/>
              <w:spacing w:before="0" w:after="283"/>
              <w:jc w:val="left"/>
              <w:rPr/>
            </w:pPr>
            <w:r>
              <w:rPr/>
              <w:t>Unrealized change in derivative value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80,360</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37" w:name="xdx_987_ecustom--EffectiveIncomeTaxRateR"/>
            <w:bookmarkEnd w:id="1237"/>
          </w:p>
        </w:tc>
        <w:tc>
          <w:tcPr>
            <w:tcW w:w="616" w:type="dxa"/>
            <w:tcBorders/>
            <w:shd w:fill="FFFFFF" w:val="clear"/>
            <w:vAlign w:val="center"/>
          </w:tcPr>
          <w:p>
            <w:pPr>
              <w:pStyle w:val="TableContents"/>
              <w:bidi w:val="0"/>
              <w:spacing w:before="0" w:after="283"/>
              <w:jc w:val="right"/>
              <w:rPr/>
            </w:pPr>
            <w:r>
              <w:rPr/>
              <w:t>(18</w:t>
            </w:r>
          </w:p>
        </w:tc>
        <w:tc>
          <w:tcPr>
            <w:tcW w:w="305" w:type="dxa"/>
            <w:tcBorders/>
            <w:shd w:fill="FFFFFF" w:val="clear"/>
            <w:vAlign w:val="center"/>
          </w:tcPr>
          <w:p>
            <w:pPr>
              <w:pStyle w:val="TableContents"/>
              <w:bidi w:val="0"/>
              <w:spacing w:before="0" w:after="283"/>
              <w:jc w:val="left"/>
              <w:rPr/>
            </w:pPr>
            <w:r>
              <w:rPr/>
              <w:t>)%</w:t>
            </w:r>
            <w:bookmarkStart w:id="1238" w:name="xdx_402_eus-gaap--IncomeTaxReconciliatio"/>
            <w:bookmarkEnd w:id="1238"/>
          </w:p>
        </w:tc>
      </w:tr>
      <w:tr>
        <w:trPr/>
        <w:tc>
          <w:tcPr>
            <w:tcW w:w="611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2,717</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239" w:name="xdx_98F_eus-gaap--EffectiveIncomeTaxRate"/>
            <w:bookmarkEnd w:id="1239"/>
          </w:p>
        </w:tc>
        <w:tc>
          <w:tcPr>
            <w:tcW w:w="616" w:type="dxa"/>
            <w:tcBorders/>
            <w:shd w:fill="CCEEFF" w:val="clear"/>
            <w:vAlign w:val="center"/>
          </w:tcPr>
          <w:p>
            <w:pPr>
              <w:pStyle w:val="TableContents"/>
              <w:bidi w:val="0"/>
              <w:spacing w:before="0" w:after="283"/>
              <w:jc w:val="right"/>
              <w:rPr/>
            </w:pPr>
            <w:r>
              <w:rPr/>
              <w:t>(1</w:t>
            </w:r>
          </w:p>
        </w:tc>
        <w:tc>
          <w:tcPr>
            <w:tcW w:w="305" w:type="dxa"/>
            <w:tcBorders/>
            <w:shd w:fill="CCEEFF" w:val="clear"/>
            <w:vAlign w:val="center"/>
          </w:tcPr>
          <w:p>
            <w:pPr>
              <w:pStyle w:val="TableContents"/>
              <w:bidi w:val="0"/>
              <w:spacing w:before="0" w:after="283"/>
              <w:jc w:val="left"/>
              <w:rPr/>
            </w:pPr>
            <w:r>
              <w:rPr/>
              <w:t>)%</w:t>
            </w:r>
            <w:bookmarkStart w:id="1240" w:name="xdx_40D_eus-gaap--IncomeTaxReconciliatio"/>
            <w:bookmarkEnd w:id="1240"/>
          </w:p>
        </w:tc>
      </w:tr>
      <w:tr>
        <w:trPr/>
        <w:tc>
          <w:tcPr>
            <w:tcW w:w="61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2,499</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bookmarkStart w:id="1241" w:name="xdx_988_eus-gaap--EffectiveIncomeTaxRate"/>
            <w:bookmarkEnd w:id="1241"/>
          </w:p>
        </w:tc>
        <w:tc>
          <w:tcPr>
            <w:tcW w:w="616"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p>
        </w:tc>
      </w:tr>
      <w:tr>
        <w:trPr/>
        <w:tc>
          <w:tcPr>
            <w:tcW w:w="611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bookmarkStart w:id="1242" w:name="xdx_403_ecustom--EffectiveIncomeTaxRateR"/>
            <w:bookmarkEnd w:id="1242"/>
          </w:p>
        </w:tc>
      </w:tr>
      <w:tr>
        <w:trPr/>
        <w:tc>
          <w:tcPr>
            <w:tcW w:w="6110" w:type="dxa"/>
            <w:tcBorders/>
            <w:shd w:fill="FFFFFF" w:val="clear"/>
            <w:vAlign w:val="center"/>
          </w:tcPr>
          <w:p>
            <w:pPr>
              <w:pStyle w:val="TableContents"/>
              <w:bidi w:val="0"/>
              <w:spacing w:before="0" w:after="283"/>
              <w:jc w:val="left"/>
              <w:rPr/>
            </w:pPr>
            <w:r>
              <w:rPr/>
              <w:t>Deferred tax adjustment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1,544</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43" w:name="xdx_98E_ecustom--EffectiveIncomeTaxRateR"/>
            <w:bookmarkEnd w:id="1243"/>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5" w:type="dxa"/>
            <w:tcBorders/>
            <w:shd w:fill="FFFFFF" w:val="clear"/>
            <w:vAlign w:val="center"/>
          </w:tcPr>
          <w:p>
            <w:pPr>
              <w:pStyle w:val="TableContents"/>
              <w:bidi w:val="0"/>
              <w:spacing w:before="0" w:after="283"/>
              <w:jc w:val="left"/>
              <w:rPr/>
            </w:pPr>
            <w:r>
              <w:rPr/>
              <w:t>%</w:t>
            </w:r>
            <w:bookmarkStart w:id="1244" w:name="xdx_40D_eus-gaap--IncomeTaxExpenseBenefi"/>
            <w:bookmarkEnd w:id="1244"/>
          </w:p>
        </w:tc>
      </w:tr>
      <w:tr>
        <w:trPr/>
        <w:tc>
          <w:tcPr>
            <w:tcW w:w="6110" w:type="dxa"/>
            <w:tcBorders/>
            <w:shd w:fill="CCEEFF" w:val="clear"/>
            <w:vAlign w:val="center"/>
          </w:tcPr>
          <w:p>
            <w:pPr>
              <w:pStyle w:val="TableContents"/>
              <w:bidi w:val="0"/>
              <w:spacing w:before="0" w:after="283"/>
              <w:jc w:val="left"/>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(1,254</w:t>
            </w:r>
          </w:p>
        </w:tc>
        <w:tc>
          <w:tcPr>
            <w:tcW w:w="174"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45" w:name="xdx_989_eus-gaap--EffectiveIncomeTaxRate"/>
            <w:bookmarkEnd w:id="1245"/>
          </w:p>
        </w:tc>
        <w:tc>
          <w:tcPr>
            <w:tcW w:w="6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246" w:name="xdx_F08_zW5hyuFtT0se"/>
            <w:bookmarkEnd w:id="1246"/>
            <w:r>
              <w:rPr>
                <w:rFonts w:ascii="Times New Roman;Times;Serif" w:hAnsi="Times New Roman;Times;Serif"/>
                <w:b w:val="false"/>
                <w:i w:val="false"/>
                <w:caps w:val="false"/>
                <w:smallCaps w:val="false"/>
                <w:sz w:val="20"/>
              </w:rPr>
              <w:t>(a)</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247" w:name="xdx_F18_zZbgrlMnphT"/>
            <w:bookmarkEnd w:id="1247"/>
            <w:r>
              <w:rPr>
                <w:rFonts w:ascii="Times New Roman;Times;Serif" w:hAnsi="Times New Roman;Times;Serif"/>
                <w:b w:val="false"/>
                <w:i w:val="false"/>
                <w:caps w:val="false"/>
                <w:smallCaps w:val="false"/>
                <w:sz w:val="20"/>
              </w:rPr>
              <w:t>For the year ended December 31, 2025, state taxes in the following states listed below made up a majority (greater than 50% of the tax effect of the state and local income taxes, net of federal taxes rate reconciliation line item).</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reconciliation above has been adjusted to be presented in compliance with the guidance under ASU 2023-09. The Company has adopted this guidance on a prospective basis.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for the year ended December 31, 2024, prior to the adoption of ASU No. 2023-09, the following reconciles the federal tax rate and the Company’s effective income tax rates with respect to continuing operations:</w:t>
      </w:r>
    </w:p>
    <w:p>
      <w:pPr>
        <w:pStyle w:val="TextBody"/>
        <w:bidi w:val="0"/>
        <w:spacing w:before="0" w:after="0"/>
        <w:ind w:left="0" w:right="0" w:hanging="0"/>
        <w:jc w:val="both"/>
        <w:rPr>
          <w:caps w:val="false"/>
          <w:smallCaps w:val="false"/>
        </w:rPr>
      </w:pPr>
      <w:r>
        <w:rPr>
          <w:caps w:val="false"/>
          <w:smallCaps w:val="false"/>
        </w:rPr>
        <w:t> </w:t>
      </w:r>
    </w:p>
    <w:tbl>
      <w:tblPr>
        <w:tblW w:w="5594" w:type="dxa"/>
        <w:jc w:val="left"/>
        <w:tblInd w:w="0" w:type="dxa"/>
        <w:tblLayout w:type="fixed"/>
        <w:tblCellMar>
          <w:top w:w="0" w:type="dxa"/>
          <w:left w:w="0" w:type="dxa"/>
          <w:bottom w:w="0" w:type="dxa"/>
          <w:right w:w="0" w:type="dxa"/>
        </w:tblCellMar>
      </w:tblPr>
      <w:tblGrid>
        <w:gridCol w:w="3275"/>
        <w:gridCol w:w="60"/>
        <w:gridCol w:w="296"/>
        <w:gridCol w:w="1658"/>
        <w:gridCol w:w="305"/>
      </w:tblGrid>
      <w:tr>
        <w:trPr/>
        <w:tc>
          <w:tcPr>
            <w:tcW w:w="32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jc w:val="center"/>
              <w:rPr>
                <w:b/>
              </w:rPr>
            </w:pPr>
            <w:r>
              <w:rPr>
                <w:b/>
              </w:rPr>
              <w:t>Year ended</w:t>
            </w:r>
          </w:p>
          <w:p>
            <w:pPr>
              <w:pStyle w:val="TableContents"/>
              <w:bidi w:val="0"/>
              <w:spacing w:before="0" w:after="283"/>
              <w:jc w:val="center"/>
              <w:rPr>
                <w:b/>
              </w:rPr>
            </w:pPr>
            <w:r>
              <w:rPr>
                <w:b/>
              </w:rPr>
              <w:t>December 31, 2024</w:t>
            </w:r>
          </w:p>
        </w:tc>
        <w:tc>
          <w:tcPr>
            <w:tcW w:w="30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Statutory rate on pre-tax book loss</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bookmarkStart w:id="1248" w:name="xdx_986_eus-gaap--EffectiveIncomeTaxRate"/>
            <w:bookmarkEnd w:id="1248"/>
          </w:p>
        </w:tc>
        <w:tc>
          <w:tcPr>
            <w:tcW w:w="1658" w:type="dxa"/>
            <w:tcBorders/>
            <w:shd w:fill="CCEEFF" w:val="clear"/>
            <w:vAlign w:val="center"/>
          </w:tcPr>
          <w:p>
            <w:pPr>
              <w:pStyle w:val="TableContents"/>
              <w:bidi w:val="0"/>
              <w:spacing w:before="0" w:after="283"/>
              <w:jc w:val="right"/>
              <w:rPr/>
            </w:pPr>
            <w:r>
              <w:rPr/>
              <w:t>26</w:t>
            </w:r>
          </w:p>
        </w:tc>
        <w:tc>
          <w:tcPr>
            <w:tcW w:w="305"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bookmarkStart w:id="1249" w:name="xdx_98B_eus-gaap--EffectiveIncomeTaxRate"/>
            <w:bookmarkEnd w:id="1249"/>
          </w:p>
        </w:tc>
        <w:tc>
          <w:tcPr>
            <w:tcW w:w="1658"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50" w:name="xdx_98F_eus-gaap--EffectiveIncomeTaxRate"/>
            <w:bookmarkEnd w:id="1250"/>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305" w:type="dxa"/>
            <w:tcBorders/>
            <w:shd w:fill="CCEEFF" w:val="clear"/>
            <w:vAlign w:val="center"/>
          </w:tcPr>
          <w:p>
            <w:pPr>
              <w:pStyle w:val="TableContents"/>
              <w:bidi w:val="0"/>
              <w:spacing w:before="0" w:after="283"/>
              <w:jc w:val="left"/>
              <w:rPr/>
            </w:pPr>
            <w:r>
              <w:rPr/>
              <w:t>)%</w:t>
            </w:r>
          </w:p>
        </w:tc>
      </w:tr>
      <w:tr>
        <w:trPr/>
        <w:tc>
          <w:tcPr>
            <w:tcW w:w="3275" w:type="dxa"/>
            <w:tcBorders/>
            <w:shd w:fill="FFFFFF" w:val="clear"/>
            <w:vAlign w:val="center"/>
          </w:tcPr>
          <w:p>
            <w:pPr>
              <w:pStyle w:val="TableContents"/>
              <w:bidi w:val="0"/>
              <w:spacing w:before="0" w:after="283"/>
              <w:jc w:val="left"/>
              <w:rPr/>
            </w:pPr>
            <w:r>
              <w:rPr/>
              <w:t>Effective income tax rates</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1" w:name="xdx_982_eus-gaap--EffectiveIncomeTaxRate"/>
            <w:bookmarkEnd w:id="1251"/>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252" w:name="xdx_8AA_zp0yByBxAtvk"/>
      <w:bookmarkEnd w:id="12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3" w:name="xdx_89A_eus-gaap--ScheduleOfDeferredTaxA"/>
      <w:bookmarkEnd w:id="1253"/>
      <w:r>
        <w:rPr>
          <w:rFonts w:ascii="Times New Roman;Times;Serif" w:hAnsi="Times New Roman;Times;Serif"/>
          <w:b w:val="false"/>
          <w:i w:val="false"/>
          <w:caps w:val="false"/>
          <w:smallCaps w:val="false"/>
          <w:sz w:val="20"/>
        </w:rPr>
        <w:t>(c) Analysis of Deferred Tax Assets and (Liabilities)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1254" w:name="xdx_8B6_zpGvRGQthPU8"/>
      <w:bookmarkEnd w:id="1254"/>
      <w:r>
        <w:rPr>
          <w:rFonts w:ascii="Times New Roman;Times;Serif" w:hAnsi="Times New Roman;Times;Serif"/>
          <w:b w:val="false"/>
          <w:i w:val="false"/>
          <w:caps w:val="false"/>
          <w:smallCaps w:val="false"/>
          <w:sz w:val="20"/>
        </w:rPr>
        <w:t>SCHEDULE OF ANALYSIS OF DEFERRED TAX ASSETS AND LIABILITIES</w:t>
      </w:r>
    </w:p>
    <w:tbl>
      <w:tblPr>
        <w:tblW w:w="7586" w:type="dxa"/>
        <w:jc w:val="left"/>
        <w:tblInd w:w="0" w:type="dxa"/>
        <w:tblLayout w:type="fixed"/>
        <w:tblCellMar>
          <w:top w:w="0" w:type="dxa"/>
          <w:left w:w="0" w:type="dxa"/>
          <w:bottom w:w="0" w:type="dxa"/>
          <w:right w:w="0" w:type="dxa"/>
        </w:tblCellMar>
      </w:tblPr>
      <w:tblGrid>
        <w:gridCol w:w="5420"/>
        <w:gridCol w:w="60"/>
        <w:gridCol w:w="143"/>
        <w:gridCol w:w="776"/>
        <w:gridCol w:w="97"/>
        <w:gridCol w:w="61"/>
        <w:gridCol w:w="143"/>
        <w:gridCol w:w="776"/>
        <w:gridCol w:w="110"/>
      </w:tblGrid>
      <w:tr>
        <w:trPr/>
        <w:tc>
          <w:tcPr>
            <w:tcW w:w="5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55" w:name="xdx_49B_20251231_zSQ30vB3dASh"/>
            <w:bookmarkEnd w:id="1255"/>
          </w:p>
        </w:tc>
        <w:tc>
          <w:tcPr>
            <w:tcW w:w="91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bookmarkStart w:id="1256" w:name="xdx_49B_20241231_zHjk9Dns52T4"/>
            <w:bookmarkEnd w:id="1256"/>
          </w:p>
        </w:tc>
        <w:tc>
          <w:tcPr>
            <w:tcW w:w="91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496" w:type="dxa"/>
            <w:gridSpan w:val="5"/>
            <w:tcBorders/>
            <w:shd w:fill="CCEEFF" w:val="clear"/>
            <w:vAlign w:val="center"/>
          </w:tcPr>
          <w:p>
            <w:pPr>
              <w:pStyle w:val="TableContents"/>
              <w:bidi w:val="0"/>
              <w:spacing w:before="0" w:after="283"/>
              <w:jc w:val="left"/>
              <w:rPr/>
            </w:pPr>
            <w:r>
              <w:rPr/>
              <w:t>Deferred tax assets (liabilities) consist of the following:</w:t>
            </w:r>
          </w:p>
        </w:tc>
        <w:tc>
          <w:tcPr>
            <w:tcW w:w="61"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1257" w:name="xdx_402_eus-gaap--DeferredTaxAssetsTaxDe"/>
            <w:bookmarkEnd w:id="1257"/>
          </w:p>
        </w:tc>
      </w:tr>
      <w:tr>
        <w:trPr/>
        <w:tc>
          <w:tcPr>
            <w:tcW w:w="5420" w:type="dxa"/>
            <w:tcBorders/>
            <w:shd w:fill="FFFFFF" w:val="clear"/>
            <w:vAlign w:val="center"/>
          </w:tcPr>
          <w:p>
            <w:pPr>
              <w:pStyle w:val="TableContents"/>
              <w:bidi w:val="0"/>
              <w:spacing w:before="0" w:after="283"/>
              <w:jc w:val="left"/>
              <w:rPr/>
            </w:pPr>
            <w:r>
              <w:rPr/>
              <w:t>Accruals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776" w:type="dxa"/>
            <w:tcBorders/>
            <w:shd w:fill="FFFFFF" w:val="clear"/>
            <w:vAlign w:val="center"/>
          </w:tcPr>
          <w:p>
            <w:pPr>
              <w:pStyle w:val="TableContents"/>
              <w:bidi w:val="0"/>
              <w:spacing w:before="0" w:after="283"/>
              <w:jc w:val="right"/>
              <w:rPr/>
            </w:pPr>
            <w:r>
              <w:rPr/>
              <w:t>360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7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58" w:name="xdx_409_eus-gaap--DeferredTaxAssetsInPro"/>
            <w:bookmarkEnd w:id="1258"/>
          </w:p>
        </w:tc>
      </w:tr>
      <w:tr>
        <w:trPr/>
        <w:tc>
          <w:tcPr>
            <w:tcW w:w="5420" w:type="dxa"/>
            <w:tcBorders/>
            <w:shd w:fill="CCEEFF" w:val="clear"/>
            <w:vAlign w:val="center"/>
          </w:tcPr>
          <w:p>
            <w:pPr>
              <w:pStyle w:val="TableContents"/>
              <w:bidi w:val="0"/>
              <w:spacing w:before="0" w:after="283"/>
              <w:jc w:val="left"/>
              <w:rPr/>
            </w:pPr>
            <w:r>
              <w:rPr/>
              <w:t>Research &amp; Development Costs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562</w:t>
            </w:r>
          </w:p>
        </w:tc>
        <w:tc>
          <w:tcPr>
            <w:tcW w:w="110" w:type="dxa"/>
            <w:tcBorders/>
            <w:shd w:fill="CCEEFF" w:val="clear"/>
            <w:vAlign w:val="center"/>
          </w:tcPr>
          <w:p>
            <w:pPr>
              <w:pStyle w:val="TableContents"/>
              <w:bidi w:val="0"/>
              <w:spacing w:before="0" w:after="283"/>
              <w:jc w:val="left"/>
              <w:rPr/>
            </w:pPr>
            <w:r>
              <w:rPr/>
              <w:t> </w:t>
            </w:r>
            <w:bookmarkStart w:id="1259" w:name="xdx_405_ecustom--DeferredTaxAssetsInAmor"/>
            <w:bookmarkEnd w:id="1259"/>
          </w:p>
        </w:tc>
      </w:tr>
      <w:tr>
        <w:trPr/>
        <w:tc>
          <w:tcPr>
            <w:tcW w:w="5420" w:type="dxa"/>
            <w:tcBorders/>
            <w:shd w:fill="FFFFFF" w:val="clear"/>
            <w:vAlign w:val="center"/>
          </w:tcPr>
          <w:p>
            <w:pPr>
              <w:pStyle w:val="TableContents"/>
              <w:bidi w:val="0"/>
              <w:spacing w:before="0" w:after="283"/>
              <w:jc w:val="left"/>
              <w:rPr/>
            </w:pPr>
            <w:r>
              <w:rPr/>
              <w:t>Amortization Expense - Patents and Trademarks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60" w:name="xdx_40C_ecustom--DeferredTaxAssetsInUnre"/>
            <w:bookmarkEnd w:id="1260"/>
          </w:p>
        </w:tc>
      </w:tr>
      <w:tr>
        <w:trPr/>
        <w:tc>
          <w:tcPr>
            <w:tcW w:w="5420" w:type="dxa"/>
            <w:tcBorders/>
            <w:shd w:fill="CCEEFF" w:val="clear"/>
            <w:vAlign w:val="center"/>
          </w:tcPr>
          <w:p>
            <w:pPr>
              <w:pStyle w:val="TableContents"/>
              <w:bidi w:val="0"/>
              <w:spacing w:before="0" w:after="283"/>
              <w:jc w:val="left"/>
              <w:rPr/>
            </w:pPr>
            <w:r>
              <w:rPr/>
              <w:t>Unrealized Gain/Loss From Foreign Currency Exchange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163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61" w:name="xdx_408_ecustom--DeferredTaxAssetsInNonq"/>
            <w:bookmarkEnd w:id="1261"/>
          </w:p>
        </w:tc>
      </w:tr>
      <w:tr>
        <w:trPr/>
        <w:tc>
          <w:tcPr>
            <w:tcW w:w="5420" w:type="dxa"/>
            <w:tcBorders/>
            <w:shd w:fill="FFFFFF" w:val="clear"/>
            <w:vAlign w:val="center"/>
          </w:tcPr>
          <w:p>
            <w:pPr>
              <w:pStyle w:val="TableContents"/>
              <w:bidi w:val="0"/>
              <w:spacing w:before="0" w:after="283"/>
              <w:jc w:val="left"/>
              <w:rPr/>
            </w:pPr>
            <w:r>
              <w:rPr/>
              <w:t>Nonqualified Stock Options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848</w:t>
            </w:r>
          </w:p>
        </w:tc>
        <w:tc>
          <w:tcPr>
            <w:tcW w:w="110" w:type="dxa"/>
            <w:tcBorders/>
            <w:shd w:fill="FFFFFF" w:val="clear"/>
            <w:vAlign w:val="center"/>
          </w:tcPr>
          <w:p>
            <w:pPr>
              <w:pStyle w:val="TableContents"/>
              <w:bidi w:val="0"/>
              <w:spacing w:before="0" w:after="283"/>
              <w:jc w:val="left"/>
              <w:rPr/>
            </w:pPr>
            <w:r>
              <w:rPr/>
              <w:t> </w:t>
            </w:r>
            <w:bookmarkStart w:id="1262" w:name="xdx_406_ecustom--DeferredTaxAssetsInChar"/>
            <w:bookmarkEnd w:id="1262"/>
          </w:p>
        </w:tc>
      </w:tr>
      <w:tr>
        <w:trPr/>
        <w:tc>
          <w:tcPr>
            <w:tcW w:w="5420" w:type="dxa"/>
            <w:tcBorders/>
            <w:shd w:fill="CCEEFF" w:val="clear"/>
            <w:vAlign w:val="center"/>
          </w:tcPr>
          <w:p>
            <w:pPr>
              <w:pStyle w:val="TableContents"/>
              <w:bidi w:val="0"/>
              <w:spacing w:before="0" w:after="283"/>
              <w:jc w:val="left"/>
              <w:rPr/>
            </w:pPr>
            <w:r>
              <w:rPr/>
              <w:t>Charitable Contributions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63" w:name="xdx_407_ecustom--DeferredTaxAssetsInInte"/>
            <w:bookmarkEnd w:id="1263"/>
          </w:p>
        </w:tc>
      </w:tr>
      <w:tr>
        <w:trPr/>
        <w:tc>
          <w:tcPr>
            <w:tcW w:w="5420" w:type="dxa"/>
            <w:tcBorders/>
            <w:shd w:fill="FFFFFF" w:val="clear"/>
            <w:vAlign w:val="center"/>
          </w:tcPr>
          <w:p>
            <w:pPr>
              <w:pStyle w:val="TableContents"/>
              <w:bidi w:val="0"/>
              <w:spacing w:before="0" w:after="283"/>
              <w:jc w:val="left"/>
              <w:rPr/>
            </w:pPr>
            <w:r>
              <w:rPr/>
              <w:t>163(j) Interest Expense Limitation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46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64" w:name="xdx_405_eus-gaap--DeferredTaxAssetsOther"/>
            <w:bookmarkEnd w:id="1264"/>
          </w:p>
        </w:tc>
      </w:tr>
      <w:tr>
        <w:trPr/>
        <w:tc>
          <w:tcPr>
            <w:tcW w:w="542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52,986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45,319</w:t>
            </w:r>
          </w:p>
        </w:tc>
        <w:tc>
          <w:tcPr>
            <w:tcW w:w="110" w:type="dxa"/>
            <w:tcBorders/>
            <w:shd w:fill="CCEEFF" w:val="clear"/>
            <w:vAlign w:val="center"/>
          </w:tcPr>
          <w:p>
            <w:pPr>
              <w:pStyle w:val="TableContents"/>
              <w:bidi w:val="0"/>
              <w:spacing w:before="0" w:after="283"/>
              <w:jc w:val="left"/>
              <w:rPr/>
            </w:pPr>
            <w:r>
              <w:rPr/>
              <w:t> </w:t>
            </w:r>
            <w:bookmarkStart w:id="1265" w:name="xdx_407_eus-gaap--DeferredTaxAssetsOpera"/>
            <w:bookmarkEnd w:id="1265"/>
          </w:p>
        </w:tc>
      </w:tr>
      <w:tr>
        <w:trPr/>
        <w:tc>
          <w:tcPr>
            <w:tcW w:w="5420" w:type="dxa"/>
            <w:tcBorders/>
            <w:shd w:fill="FFFFFF" w:val="clear"/>
            <w:vAlign w:val="center"/>
          </w:tcPr>
          <w:p>
            <w:pPr>
              <w:pStyle w:val="TableContents"/>
              <w:bidi w:val="0"/>
              <w:spacing w:before="0" w:after="283"/>
              <w:jc w:val="left"/>
              <w:rPr/>
            </w:pPr>
            <w:r>
              <w:rPr/>
              <w:t>Foreign Net Operating Loss Carryforward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697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66" w:name="xdx_40F_ecustom--DeferredTaxAssetsInRese"/>
            <w:bookmarkEnd w:id="1266"/>
          </w:p>
        </w:tc>
      </w:tr>
      <w:tr>
        <w:trPr/>
        <w:tc>
          <w:tcPr>
            <w:tcW w:w="5420" w:type="dxa"/>
            <w:tcBorders/>
            <w:shd w:fill="CCEEFF" w:val="clear"/>
            <w:vAlign w:val="center"/>
          </w:tcPr>
          <w:p>
            <w:pPr>
              <w:pStyle w:val="TableContents"/>
              <w:bidi w:val="0"/>
              <w:spacing w:before="0" w:after="283"/>
              <w:jc w:val="left"/>
              <w:rPr/>
            </w:pPr>
            <w:r>
              <w:rPr/>
              <w:t>Research &amp; Development Tax Credit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98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67" w:name="xdx_401_eus-gaap--DeferredTaxAssetsOther"/>
            <w:bookmarkEnd w:id="1267"/>
          </w:p>
        </w:tc>
      </w:tr>
      <w:tr>
        <w:trPr/>
        <w:tc>
          <w:tcPr>
            <w:tcW w:w="542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252</w:t>
            </w:r>
          </w:p>
        </w:tc>
        <w:tc>
          <w:tcPr>
            <w:tcW w:w="110" w:type="dxa"/>
            <w:tcBorders/>
            <w:shd w:fill="FFFFFF" w:val="clear"/>
            <w:vAlign w:val="center"/>
          </w:tcPr>
          <w:p>
            <w:pPr>
              <w:pStyle w:val="TableContents"/>
              <w:bidi w:val="0"/>
              <w:spacing w:before="0" w:after="283"/>
              <w:jc w:val="left"/>
              <w:rPr/>
            </w:pPr>
            <w:r>
              <w:rPr/>
              <w:t> </w:t>
            </w:r>
            <w:bookmarkStart w:id="1268" w:name="xdx_408_eus-gaap--DeferredTaxAssetsGross"/>
            <w:bookmarkEnd w:id="1268"/>
          </w:p>
        </w:tc>
      </w:tr>
      <w:tr>
        <w:trPr/>
        <w:tc>
          <w:tcPr>
            <w:tcW w:w="5420" w:type="dxa"/>
            <w:tcBorders/>
            <w:shd w:fill="CCEEFF" w:val="clear"/>
            <w:vAlign w:val="center"/>
          </w:tcPr>
          <w:p>
            <w:pPr>
              <w:pStyle w:val="TableContents"/>
              <w:bidi w:val="0"/>
              <w:spacing w:before="0" w:after="283"/>
              <w:jc w:val="left"/>
              <w:rPr/>
            </w:pPr>
            <w:r>
              <w:rPr/>
              <w:t>Total Deferred Tax Assets before Valuation Allowance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54,385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46,981</w:t>
            </w:r>
          </w:p>
        </w:tc>
        <w:tc>
          <w:tcPr>
            <w:tcW w:w="110" w:type="dxa"/>
            <w:tcBorders/>
            <w:shd w:fill="CCEEFF" w:val="clear"/>
            <w:vAlign w:val="center"/>
          </w:tcPr>
          <w:p>
            <w:pPr>
              <w:pStyle w:val="TableContents"/>
              <w:bidi w:val="0"/>
              <w:spacing w:before="0" w:after="283"/>
              <w:jc w:val="left"/>
              <w:rPr/>
            </w:pPr>
            <w:r>
              <w:rPr/>
              <w:t> </w:t>
            </w:r>
            <w:bookmarkStart w:id="1269" w:name="xdx_404_eus-gaap--DeferredTaxAssetsValua"/>
            <w:bookmarkEnd w:id="1269"/>
          </w:p>
        </w:tc>
      </w:tr>
      <w:tr>
        <w:trPr/>
        <w:tc>
          <w:tcPr>
            <w:tcW w:w="542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(53,686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(46,981</w:t>
            </w:r>
          </w:p>
        </w:tc>
        <w:tc>
          <w:tcPr>
            <w:tcW w:w="110" w:type="dxa"/>
            <w:tcBorders/>
            <w:shd w:fill="FFFFFF" w:val="clear"/>
            <w:vAlign w:val="center"/>
          </w:tcPr>
          <w:p>
            <w:pPr>
              <w:pStyle w:val="TableContents"/>
              <w:bidi w:val="0"/>
              <w:spacing w:before="0" w:after="283"/>
              <w:jc w:val="left"/>
              <w:rPr/>
            </w:pPr>
            <w:r>
              <w:rPr/>
              <w:t>)</w:t>
            </w:r>
            <w:bookmarkStart w:id="1270" w:name="xdx_405_eus-gaap--DeferredIncomeTaxAsset"/>
            <w:bookmarkEnd w:id="1270"/>
          </w:p>
        </w:tc>
      </w:tr>
      <w:tr>
        <w:trPr/>
        <w:tc>
          <w:tcPr>
            <w:tcW w:w="5420"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699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71" w:name="xdx_40D_ecustom--DepreciationExpense_iNI"/>
            <w:bookmarkEnd w:id="1271"/>
          </w:p>
        </w:tc>
      </w:tr>
      <w:tr>
        <w:trPr/>
        <w:tc>
          <w:tcPr>
            <w:tcW w:w="5420"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72" w:name="xdx_402_ecustom--ForeignAcquisitionOfInt"/>
            <w:bookmarkEnd w:id="1272"/>
          </w:p>
        </w:tc>
      </w:tr>
      <w:tr>
        <w:trPr/>
        <w:tc>
          <w:tcPr>
            <w:tcW w:w="5420" w:type="dxa"/>
            <w:tcBorders/>
            <w:shd w:fill="CCEEFF" w:val="clear"/>
            <w:vAlign w:val="center"/>
          </w:tcPr>
          <w:p>
            <w:pPr>
              <w:pStyle w:val="TableContents"/>
              <w:bidi w:val="0"/>
              <w:spacing w:before="0" w:after="283"/>
              <w:jc w:val="left"/>
              <w:rPr/>
            </w:pPr>
            <w:r>
              <w:rPr/>
              <w:t>Foreign Acquisition of Intangible Assets Step Up</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(12,117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73" w:name="xdx_98F_eus-gaap--DeferredIncomeTaxLiabi"/>
            <w:bookmarkEnd w:id="1273"/>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(12,120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74" w:name="xdx_981_eus-gaap--DeferredIncomeTaxLiabi"/>
            <w:bookmarkEnd w:id="1274"/>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75" w:name="xdx_40C_eus-gaap--DeferredTaxLiabilities"/>
            <w:bookmarkEnd w:id="1275"/>
          </w:p>
        </w:tc>
      </w:tr>
      <w:tr>
        <w:trPr/>
        <w:tc>
          <w:tcPr>
            <w:tcW w:w="5420" w:type="dxa"/>
            <w:tcBorders/>
            <w:shd w:fill="CCEEFF" w:val="clear"/>
            <w:vAlign w:val="center"/>
          </w:tcPr>
          <w:p>
            <w:pPr>
              <w:pStyle w:val="TableContents"/>
              <w:bidi w:val="0"/>
              <w:spacing w:before="0" w:after="283"/>
              <w:jc w:val="left"/>
              <w:rPr/>
            </w:pPr>
            <w:r>
              <w:rPr/>
              <w:t>Net Deferred tax asset (liability)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pPr>
            <w:r>
              <w:rPr/>
              <w:t>(11,421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76" w:name="xdx_8A2_zBQ6H3nwo1Oj"/>
      <w:bookmarkEnd w:id="12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allowances relate primarily to NOL carryforwards related to the Company’s tax losses. During the years ended December 31, 2025 and 2024, the valuation allowance increased by $</w:t>
      </w:r>
      <w:bookmarkStart w:id="1277" w:name="xdx_90A_eus-gaap--ValuationAllowanceDefe"/>
      <w:bookmarkEnd w:id="1277"/>
      <w:r>
        <w:rPr>
          <w:rFonts w:ascii="Times New Roman;Times;Serif" w:hAnsi="Times New Roman;Times;Serif"/>
          <w:b w:val="false"/>
          <w:i w:val="false"/>
          <w:caps w:val="false"/>
          <w:smallCaps w:val="false"/>
          <w:sz w:val="20"/>
        </w:rPr>
        <w:t>6.7 million and decreased by $</w:t>
      </w:r>
      <w:bookmarkStart w:id="1278" w:name="xdx_904_eus-gaap--ValuationAllowanceDefe"/>
      <w:bookmarkEnd w:id="1278"/>
      <w:r>
        <w:rPr>
          <w:rFonts w:ascii="Times New Roman;Times;Serif" w:hAnsi="Times New Roman;Times;Serif"/>
          <w:b w:val="false"/>
          <w:i w:val="false"/>
          <w:caps w:val="false"/>
          <w:smallCaps w:val="false"/>
          <w:sz w:val="20"/>
        </w:rPr>
        <w:t>8.4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d) Summary of Tax Loss Carryforwards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9" w:name="xdx_89E_eus-gaap--SummaryOfOperatingLoss"/>
      <w:bookmarkEnd w:id="1279"/>
      <w:r>
        <w:rPr>
          <w:rFonts w:ascii="Times New Roman;Times;Serif" w:hAnsi="Times New Roman;Times;Serif"/>
          <w:b w:val="false"/>
          <w:i w:val="false"/>
          <w:caps w:val="false"/>
          <w:smallCaps w:val="false"/>
          <w:sz w:val="20"/>
        </w:rPr>
        <w:t>As of December 31, 2025, the Company had various NOL carryforwards expiring as follows (in thousands):</w:t>
      </w:r>
    </w:p>
    <w:p>
      <w:pPr>
        <w:pStyle w:val="TextBody"/>
        <w:bidi w:val="0"/>
        <w:spacing w:before="0" w:after="0"/>
        <w:ind w:left="0" w:right="0" w:hanging="0"/>
        <w:jc w:val="left"/>
        <w:rPr>
          <w:caps w:val="false"/>
          <w:smallCaps w:val="false"/>
        </w:rPr>
      </w:pPr>
      <w:r>
        <w:rPr>
          <w:caps w:val="false"/>
          <w:smallCaps w:val="false"/>
        </w:rPr>
        <w:t> </w:t>
      </w:r>
      <w:bookmarkStart w:id="1280" w:name="xdx_8BE_zNRlTukzkgp2"/>
      <w:bookmarkEnd w:id="1280"/>
      <w:r>
        <w:rPr>
          <w:rFonts w:ascii="Times New Roman;Times;Serif" w:hAnsi="Times New Roman;Times;Serif"/>
          <w:b w:val="false"/>
          <w:i w:val="false"/>
          <w:caps w:val="false"/>
          <w:smallCaps w:val="false"/>
          <w:sz w:val="20"/>
        </w:rPr>
        <w:t>SCHEDULE OF NET OPERATING LOSS CARRYFORWARDS</w:t>
      </w:r>
    </w:p>
    <w:tbl>
      <w:tblPr>
        <w:tblW w:w="5100" w:type="dxa"/>
        <w:jc w:val="left"/>
        <w:tblInd w:w="0" w:type="dxa"/>
        <w:tblLayout w:type="fixed"/>
        <w:tblCellMar>
          <w:top w:w="0" w:type="dxa"/>
          <w:left w:w="0" w:type="dxa"/>
          <w:bottom w:w="28" w:type="dxa"/>
          <w:right w:w="0" w:type="dxa"/>
        </w:tblCellMar>
      </w:tblPr>
      <w:tblGrid>
        <w:gridCol w:w="2030"/>
        <w:gridCol w:w="60"/>
        <w:gridCol w:w="140"/>
        <w:gridCol w:w="800"/>
        <w:gridCol w:w="60"/>
        <w:gridCol w:w="60"/>
        <w:gridCol w:w="140"/>
        <w:gridCol w:w="800"/>
        <w:gridCol w:w="60"/>
        <w:gridCol w:w="60"/>
        <w:gridCol w:w="163"/>
        <w:gridCol w:w="652"/>
        <w:gridCol w:w="75"/>
      </w:tblGrid>
      <w:tr>
        <w:trPr/>
        <w:tc>
          <w:tcPr>
            <w:tcW w:w="2030" w:type="dxa"/>
            <w:tcBorders>
              <w:bottom w:val="single" w:sz="8" w:space="0" w:color="000000"/>
            </w:tcBorders>
            <w:vAlign w:val="center"/>
          </w:tcPr>
          <w:p>
            <w:pPr>
              <w:pStyle w:val="TableContents"/>
              <w:bidi w:val="0"/>
              <w:spacing w:before="0" w:after="283"/>
              <w:jc w:val="both"/>
              <w:rPr/>
            </w:pPr>
            <w:r>
              <w:rPr/>
              <w:t>Expiration</w:t>
            </w:r>
          </w:p>
        </w:tc>
        <w:tc>
          <w:tcPr>
            <w:tcW w:w="60" w:type="dxa"/>
            <w:tcBorders/>
            <w:tcMar>
              <w:bottom w:w="0" w:type="dxa"/>
            </w:tcMar>
            <w:vAlign w:val="center"/>
          </w:tcPr>
          <w:p>
            <w:pPr>
              <w:pStyle w:val="TableContents"/>
              <w:bidi w:val="0"/>
              <w:spacing w:before="0" w:after="283"/>
              <w:jc w:val="left"/>
              <w:rPr/>
            </w:pPr>
            <w:r>
              <w:rPr/>
              <w:t> </w:t>
            </w:r>
            <w:bookmarkStart w:id="1281" w:name="xdx_492_20251231__us-gaap--IncomeTaxAuth"/>
            <w:bookmarkEnd w:id="1281"/>
          </w:p>
        </w:tc>
        <w:tc>
          <w:tcPr>
            <w:tcW w:w="940" w:type="dxa"/>
            <w:gridSpan w:val="2"/>
            <w:tcBorders>
              <w:bottom w:val="single" w:sz="8" w:space="0" w:color="000000"/>
            </w:tcBorders>
            <w:vAlign w:val="center"/>
          </w:tcPr>
          <w:p>
            <w:pPr>
              <w:pStyle w:val="TableContents"/>
              <w:bidi w:val="0"/>
              <w:spacing w:before="0" w:after="283"/>
              <w:jc w:val="center"/>
              <w:rPr>
                <w:b/>
              </w:rPr>
            </w:pPr>
            <w:r>
              <w:rPr>
                <w:b/>
              </w:rPr>
              <w:t>Federal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82" w:name="xdx_498_20251231__us-gaap--IncomeTaxAuth"/>
            <w:bookmarkEnd w:id="1282"/>
          </w:p>
        </w:tc>
        <w:tc>
          <w:tcPr>
            <w:tcW w:w="940" w:type="dxa"/>
            <w:gridSpan w:val="2"/>
            <w:tcBorders>
              <w:bottom w:val="single" w:sz="8" w:space="0" w:color="000000"/>
            </w:tcBorders>
            <w:vAlign w:val="center"/>
          </w:tcPr>
          <w:p>
            <w:pPr>
              <w:pStyle w:val="TableContents"/>
              <w:bidi w:val="0"/>
              <w:spacing w:before="0" w:after="283"/>
              <w:jc w:val="center"/>
              <w:rPr>
                <w:b/>
              </w:rPr>
            </w:pPr>
            <w:r>
              <w:rPr>
                <w:b/>
              </w:rPr>
              <w:t>State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283" w:name="xdx_499_20251231__us-gaap--IncomeTaxAuth"/>
            <w:bookmarkEnd w:id="1283"/>
          </w:p>
        </w:tc>
        <w:tc>
          <w:tcPr>
            <w:tcW w:w="815" w:type="dxa"/>
            <w:gridSpan w:val="2"/>
            <w:tcBorders>
              <w:bottom w:val="single" w:sz="8" w:space="0" w:color="000000"/>
            </w:tcBorders>
            <w:vAlign w:val="center"/>
          </w:tcPr>
          <w:p>
            <w:pPr>
              <w:pStyle w:val="TableContents"/>
              <w:bidi w:val="0"/>
              <w:spacing w:before="0" w:after="283"/>
              <w:jc w:val="center"/>
              <w:rPr>
                <w:b/>
              </w:rPr>
            </w:pPr>
            <w:r>
              <w:rPr>
                <w:b/>
              </w:rPr>
              <w:t>Foreign</w:t>
            </w:r>
          </w:p>
        </w:tc>
        <w:tc>
          <w:tcPr>
            <w:tcW w:w="75" w:type="dxa"/>
            <w:tcBorders/>
            <w:tcMar>
              <w:bottom w:w="0" w:type="dxa"/>
            </w:tcMar>
            <w:vAlign w:val="center"/>
          </w:tcPr>
          <w:p>
            <w:pPr>
              <w:pStyle w:val="TableContents"/>
              <w:bidi w:val="0"/>
              <w:spacing w:before="0" w:after="283"/>
              <w:jc w:val="left"/>
              <w:rPr/>
            </w:pPr>
            <w:r>
              <w:rPr/>
              <w:t> </w:t>
            </w:r>
            <w:bookmarkStart w:id="1284" w:name="xdx_40B_eus-gaap--DeferredTaxAssetsOpera"/>
            <w:bookmarkEnd w:id="1284"/>
          </w:p>
        </w:tc>
      </w:tr>
      <w:tr>
        <w:trPr/>
        <w:tc>
          <w:tcPr>
            <w:tcW w:w="20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2026-2031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285" w:name="xdx_40D_eus-gaap--DeferredTaxAssetsOpera"/>
            <w:bookmarkEnd w:id="1285"/>
          </w:p>
        </w:tc>
      </w:tr>
      <w:tr>
        <w:trPr/>
        <w:tc>
          <w:tcPr>
            <w:tcW w:w="20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2032-2037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22,641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65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286" w:name="xdx_409_eus-gaap--DeferredTaxAssetsOpera"/>
            <w:bookmarkEnd w:id="1286"/>
          </w:p>
        </w:tc>
      </w:tr>
      <w:tr>
        <w:trPr/>
        <w:tc>
          <w:tcPr>
            <w:tcW w:w="20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2038-2045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pPr>
            <w:r>
              <w:rPr/>
              <w:t>2,512</w:t>
            </w:r>
          </w:p>
        </w:tc>
        <w:tc>
          <w:tcPr>
            <w:tcW w:w="75" w:type="dxa"/>
            <w:tcBorders/>
            <w:shd w:fill="CCEEFF" w:val="clear"/>
            <w:tcMar>
              <w:bottom w:w="0" w:type="dxa"/>
            </w:tcMar>
            <w:vAlign w:val="center"/>
          </w:tcPr>
          <w:p>
            <w:pPr>
              <w:pStyle w:val="TableContents"/>
              <w:bidi w:val="0"/>
              <w:spacing w:before="0" w:after="283"/>
              <w:jc w:val="left"/>
              <w:rPr/>
            </w:pPr>
            <w:r>
              <w:rPr/>
              <w:t> </w:t>
            </w:r>
            <w:bookmarkStart w:id="1287" w:name="xdx_409_eus-gaap--DeferredTaxAssetsOpera"/>
            <w:bookmarkEnd w:id="1287"/>
          </w:p>
        </w:tc>
      </w:tr>
      <w:tr>
        <w:trPr/>
        <w:tc>
          <w:tcPr>
            <w:tcW w:w="2030" w:type="dxa"/>
            <w:tcBorders/>
            <w:shd w:fill="CCEEFF" w:val="clear"/>
            <w:tcMar>
              <w:bottom w:w="0" w:type="dxa"/>
            </w:tcMar>
            <w:vAlign w:val="center"/>
          </w:tcPr>
          <w:p>
            <w:pPr>
              <w:pStyle w:val="TableContents"/>
              <w:bidi w:val="0"/>
              <w:spacing w:before="0" w:after="283"/>
              <w:jc w:val="both"/>
              <w:rPr/>
            </w:pPr>
            <w:r>
              <w:rPr/>
              <w:t>Subject to Expiration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652" w:type="dxa"/>
            <w:tcBorders/>
            <w:shd w:fill="CCEEFF" w:val="clear"/>
            <w:tcMar>
              <w:bottom w:w="0" w:type="dxa"/>
            </w:tcMar>
            <w:vAlign w:val="center"/>
          </w:tcPr>
          <w:p>
            <w:pPr>
              <w:pStyle w:val="TableContents"/>
              <w:bidi w:val="0"/>
              <w:spacing w:before="0" w:after="283"/>
              <w:jc w:val="right"/>
              <w:rPr/>
            </w:pPr>
            <w:r>
              <w:rPr/>
              <w:t>2,512</w:t>
            </w:r>
          </w:p>
        </w:tc>
        <w:tc>
          <w:tcPr>
            <w:tcW w:w="75" w:type="dxa"/>
            <w:tcBorders/>
            <w:shd w:fill="CCEEFF" w:val="clear"/>
            <w:tcMar>
              <w:bottom w:w="0" w:type="dxa"/>
            </w:tcMar>
            <w:vAlign w:val="center"/>
          </w:tcPr>
          <w:p>
            <w:pPr>
              <w:pStyle w:val="TableContents"/>
              <w:bidi w:val="0"/>
              <w:spacing w:before="0" w:after="283"/>
              <w:jc w:val="left"/>
              <w:rPr/>
            </w:pPr>
            <w:r>
              <w:rPr/>
              <w:t> </w:t>
            </w:r>
            <w:bookmarkStart w:id="1288" w:name="xdx_403_eus-gaap--DeferredTaxAssetsOpera"/>
            <w:bookmarkEnd w:id="1288"/>
          </w:p>
        </w:tc>
      </w:tr>
      <w:tr>
        <w:trPr/>
        <w:tc>
          <w:tcPr>
            <w:tcW w:w="20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188,043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128,575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652"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289" w:name="xdx_406_eus-gaap--OperatingLossCarryforw"/>
            <w:bookmarkEnd w:id="1289"/>
          </w:p>
        </w:tc>
      </w:tr>
      <w:tr>
        <w:trPr/>
        <w:tc>
          <w:tcPr>
            <w:tcW w:w="20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211,645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144,713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vAlign w:val="center"/>
          </w:tcPr>
          <w:p>
            <w:pPr>
              <w:pStyle w:val="TableContents"/>
              <w:bidi w:val="0"/>
              <w:spacing w:before="0" w:after="283"/>
              <w:jc w:val="left"/>
              <w:rPr/>
            </w:pPr>
            <w:r>
              <w:rPr/>
              <w:t>$</w:t>
            </w:r>
          </w:p>
        </w:tc>
        <w:tc>
          <w:tcPr>
            <w:tcW w:w="652" w:type="dxa"/>
            <w:tcBorders>
              <w:bottom w:val="double" w:sz="6" w:space="0" w:color="000000"/>
            </w:tcBorders>
            <w:shd w:fill="CCEEFF" w:val="clear"/>
            <w:vAlign w:val="center"/>
          </w:tcPr>
          <w:p>
            <w:pPr>
              <w:pStyle w:val="TableContents"/>
              <w:bidi w:val="0"/>
              <w:spacing w:before="0" w:after="283"/>
              <w:jc w:val="right"/>
              <w:rPr/>
            </w:pPr>
            <w:r>
              <w:rPr/>
              <w:t>2,512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90" w:name="xdx_8AD_zRe3KSdKIhie"/>
      <w:bookmarkEnd w:id="129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Streamex Acquisition, the utilization of the Company’s pre-2025 federal and state net operating losses may be subject to limitation under the Internal Revenue Code, as well as similar state provisions. Such limitations may result in the expiration of those net operating loss (NOL) carry forwards before their utilization. Future changes in the Company’s stock ownership, which may be outside of the Company’s control may trigger an “ownership change” which could result in limitations under the Internal Revenue Code.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the Company’s net operating loss carryforwards and research tax credit carryovers could be subject to annual limitations under Sections 382 and 383 of the Internal Revenue Code of 1986, as amended (the “Code”), due to ownership change limitations that may have occurred previously or that could occur in the future. These ownership changes limit the amount of net operating loss carryforwards and other deferred tax assets that can be utilized to offset future taxable income and tax,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ownership change, as defined by Sections 382 and 383 of the Code, results from transactions increasing ownership of certain stockholders or public groups in the stock of a corporation by more than 50 percentage points over a three-year period. The Company has not completed a formal study to determine whether an ownership change under Sections 382 or 383 of the Code has occurred. To the extent that such a study is completed and an ownership change is deemed to have occurred, the Company’s ability to utilize its net operating loss carryforwards and tax credit carryovers could be significantly limited. The Company files income tax returns in the United States federal jurisdiction, various state jurisdictions, and Canada. The Company’s significant state tax jurisdictions include Florida.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 longer subject to U.S. federal income tax examinations for tax years ended on or before December 31, 2018. State income tax returns are generally subject to examination for periods ranging from three to five years, depending on the jurisdiction. Canadian income tax returns are generally subject to examination for three years following the date of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is not currently under examination by any U.S. federal, state, or foreign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was enacted (“OBBBA”), introducing significant and wide-ranging changes to the U.S. federal tax system. Significant components include restoration of 100% accelerated tax depreciation on qualifying property including expansion to cover qualified production property. Another major aspect includes the return to immediate expensing of domestic research and experimental expenditures (“R&amp;E”) which in some cases may include retroactive application back to 2021 for businesses with gross receipts of less than $31 million or accelerated tax deductions of R&amp;E that was previously capitalized for larger businesses. The legislation also reinstates EBITDA-based interest deductions for tax purposes and makes several business tax incentives permanent. Less favorable business provisions include limitations on tax deductions for charitable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1" w:name="xdx_803_eus-gaap--DerivativeInstrumentsA"/>
      <w:bookmarkEnd w:id="1291"/>
      <w:r>
        <w:rPr>
          <w:rFonts w:ascii="Times New Roman;Times;Serif" w:hAnsi="Times New Roman;Times;Serif"/>
          <w:b/>
          <w:i w:val="false"/>
          <w:caps w:val="false"/>
          <w:smallCaps w:val="false"/>
          <w:sz w:val="20"/>
        </w:rPr>
        <w:t xml:space="preserve">NOTE 17 — </w:t>
      </w:r>
      <w:bookmarkStart w:id="1292" w:name="xdx_821_zToHAsjUgsA5"/>
      <w:bookmarkEnd w:id="1292"/>
      <w:r>
        <w:rPr>
          <w:rFonts w:ascii="Times New Roman;Times;Serif" w:hAnsi="Times New Roman;Times;Serif"/>
          <w:b/>
          <w:i w:val="false"/>
          <w:caps w:val="false"/>
          <w:smallCaps w:val="false"/>
          <w:sz w:val="20"/>
        </w:rPr>
        <w:t>DERIVATIVE FINANCIAL INSTRUMENTS AND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certain contracts and instruments that are accounted for as derivatives under ASC 815, Derivatives and Hedging. The objective of the disclosures in this note is to enable users of the consolidated financial statements to understand (i) how and why the Company uses derivative instruments, (ii) how the Company accounts for derivative instruments under ASC 815, and (iii) how derivative instruments affect the Company’s financial position, financial performance,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and does not apply hedge accounting.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derivative instruments during the year ended December 31, 2025 primarily consisted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Exchangeable Shares issued by ExchangeCo in connection with the acquisition of Streamex Exchange, which were classified as a derivative liability prior to stockholder approval due to an exercise contingency and other settlement features evaluated under ASC 815-40.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Embedded conversion features within the Company’s secured convertible debentures issued to Yorkville, which require bifurcation and recognition as an embedded derivative liability measured at fair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warrants that, upon the occurrence of a “Fundamental Transaction,” provided holders with a right to require cash settlement based on Black-Scholes value. Upon occurrence of such cash-settlement features, the affected warrants were evaluated for classification under ASC 815-40 and, reclassified as liability-classified derivative instruments and measured at fair value through settlement, which all affect warrants were settled during the period.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only derivative instrument recognized on the Consolidated Balance Sheets was an embedded derivative liability related to the bifurcated conversion option within the Company’s secured convertible debentures issued to Yorkville. The embedded derivative liability was recorded at fair value of approximately $1.7 million as of December 31, 2025. As of December 31, 2024, the Company had no derivative instruments recognized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15, Convertible Debentures and Note 12, Fair Value Measurements for additional information regarding the embedded derivative liability and related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Exchangeable Shares derivative liability was reclassified to permanent equity upon stockholder approval on November 4, 2025. The Company’s warrants with Fundamental Transaction cash settlement features were repurchased for cash during the fourth quarter of 2025. See the cross-referenced notes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93" w:name="xdx_894_eus-gaap--ScheduleOfDerivativeIn"/>
      <w:bookmarkEnd w:id="1293"/>
      <w:r>
        <w:rPr>
          <w:rFonts w:ascii="Times New Roman;Times;Serif" w:hAnsi="Times New Roman;Times;Serif"/>
          <w:b w:val="false"/>
          <w:i w:val="false"/>
          <w:caps w:val="false"/>
          <w:smallCaps w:val="false"/>
          <w:sz w:val="20"/>
        </w:rPr>
        <w:t>The following table presents the impact of the Company’s derivative instruments on earnings for the year ended December 31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94" w:name="xdx_8B9_zXmm7t5NBYo1"/>
      <w:bookmarkEnd w:id="1294"/>
      <w:r>
        <w:rPr>
          <w:rFonts w:ascii="Times New Roman;Times;Serif" w:hAnsi="Times New Roman;Times;Serif"/>
          <w:b w:val="false"/>
          <w:i w:val="false"/>
          <w:caps w:val="false"/>
          <w:smallCaps w:val="false"/>
          <w:sz w:val="20"/>
        </w:rPr>
        <w:t>SCHEDULE OF DERIVATIVE INSTRUMENTS ON EARNINGS </w:t>
      </w:r>
    </w:p>
    <w:tbl>
      <w:tblPr>
        <w:tblW w:w="8752" w:type="dxa"/>
        <w:jc w:val="left"/>
        <w:tblInd w:w="0" w:type="dxa"/>
        <w:tblLayout w:type="fixed"/>
        <w:tblCellMar>
          <w:top w:w="0" w:type="dxa"/>
          <w:left w:w="0" w:type="dxa"/>
          <w:bottom w:w="0" w:type="dxa"/>
          <w:right w:w="0" w:type="dxa"/>
        </w:tblCellMar>
      </w:tblPr>
      <w:tblGrid>
        <w:gridCol w:w="5330"/>
        <w:gridCol w:w="60"/>
        <w:gridCol w:w="275"/>
        <w:gridCol w:w="1723"/>
        <w:gridCol w:w="187"/>
        <w:gridCol w:w="118"/>
        <w:gridCol w:w="585"/>
        <w:gridCol w:w="399"/>
        <w:gridCol w:w="7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5" w:name="xdx_49B_20250101__20251231_zsUXef3ZO3bl"/>
            <w:bookmarkEnd w:id="1295"/>
          </w:p>
        </w:tc>
        <w:tc>
          <w:tcPr>
            <w:tcW w:w="199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296" w:name="xdx_493_20240101__20241231_zA9Dc3QR8isa"/>
            <w:bookmarkEnd w:id="1296"/>
          </w:p>
        </w:tc>
        <w:tc>
          <w:tcPr>
            <w:tcW w:w="984"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7" w:type="dxa"/>
            <w:gridSpan w:val="6"/>
            <w:tcBorders>
              <w:bottom w:val="single" w:sz="8" w:space="0" w:color="000000"/>
            </w:tcBorders>
            <w:tcMar>
              <w:bottom w:w="28" w:type="dxa"/>
            </w:tcMar>
            <w:vAlign w:val="center"/>
          </w:tcPr>
          <w:p>
            <w:pPr>
              <w:pStyle w:val="TableContents"/>
              <w:bidi w:val="0"/>
              <w:spacing w:before="0" w:after="283"/>
              <w:jc w:val="center"/>
              <w:rPr/>
            </w:pPr>
            <w:r>
              <w:rPr/>
              <w:t>For the Year Ended December 31,</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bookmarkStart w:id="1297" w:name="xdx_40E_eus-gaap--DerivativeGainLossOnDe"/>
            <w:bookmarkEnd w:id="1297"/>
          </w:p>
        </w:tc>
      </w:tr>
      <w:tr>
        <w:trPr/>
        <w:tc>
          <w:tcPr>
            <w:tcW w:w="5330" w:type="dxa"/>
            <w:tcBorders/>
            <w:shd w:fill="CCEEFF" w:val="clear"/>
            <w:vAlign w:val="center"/>
          </w:tcPr>
          <w:p>
            <w:pPr>
              <w:pStyle w:val="TableContents"/>
              <w:bidi w:val="0"/>
              <w:spacing w:before="0" w:after="283"/>
              <w:jc w:val="both"/>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723" w:type="dxa"/>
            <w:tcBorders/>
            <w:shd w:fill="CCEEFF" w:val="clear"/>
            <w:vAlign w:val="center"/>
          </w:tcPr>
          <w:p>
            <w:pPr>
              <w:pStyle w:val="TableContents"/>
              <w:bidi w:val="0"/>
              <w:spacing w:before="0" w:after="283"/>
              <w:jc w:val="right"/>
              <w:rPr/>
            </w:pPr>
            <w:r>
              <w:rPr/>
              <w:t>(389,680</w:t>
            </w:r>
          </w:p>
        </w:tc>
        <w:tc>
          <w:tcPr>
            <w:tcW w:w="187"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left"/>
              <w:rPr/>
            </w:pPr>
            <w:r>
              <w:rPr/>
              <w:t>$</w:t>
            </w:r>
          </w:p>
        </w:tc>
        <w:tc>
          <w:tcPr>
            <w:tcW w:w="39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298" w:name="xdx_402_eus-gaap--EmbeddedDerivativeGain"/>
            <w:bookmarkEnd w:id="1298"/>
          </w:p>
        </w:tc>
      </w:tr>
      <w:tr>
        <w:trPr/>
        <w:tc>
          <w:tcPr>
            <w:tcW w:w="5330" w:type="dxa"/>
            <w:tcBorders/>
            <w:shd w:fill="FFFFFF" w:val="clear"/>
            <w:vAlign w:val="center"/>
          </w:tcPr>
          <w:p>
            <w:pPr>
              <w:pStyle w:val="TableContents"/>
              <w:bidi w:val="0"/>
              <w:spacing w:before="0" w:after="283"/>
              <w:jc w:val="both"/>
              <w:rPr/>
            </w:pPr>
            <w:r>
              <w:rPr/>
              <w:t>Change in fair value of embedded derivative</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right"/>
              <w:rPr/>
            </w:pPr>
            <w:r>
              <w:rPr/>
              <w:t>7,015</w:t>
            </w:r>
          </w:p>
        </w:tc>
        <w:tc>
          <w:tcPr>
            <w:tcW w:w="187"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299" w:name="xdx_405_eus-gaap--OtherOperatingIncomeEx"/>
            <w:bookmarkEnd w:id="1299"/>
          </w:p>
        </w:tc>
      </w:tr>
      <w:tr>
        <w:trPr/>
        <w:tc>
          <w:tcPr>
            <w:tcW w:w="5330" w:type="dxa"/>
            <w:tcBorders/>
            <w:shd w:fill="CCEEFF" w:val="clear"/>
            <w:vAlign w:val="center"/>
          </w:tcPr>
          <w:p>
            <w:pPr>
              <w:pStyle w:val="TableContents"/>
              <w:bidi w:val="0"/>
              <w:spacing w:before="0" w:after="283"/>
              <w:jc w:val="both"/>
              <w:rPr/>
            </w:pPr>
            <w:r>
              <w:rPr/>
              <w:t>Total gain/loss) included in Other income (expense), net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723" w:type="dxa"/>
            <w:tcBorders/>
            <w:shd w:fill="CCEEFF" w:val="clear"/>
            <w:vAlign w:val="center"/>
          </w:tcPr>
          <w:p>
            <w:pPr>
              <w:pStyle w:val="TableContents"/>
              <w:bidi w:val="0"/>
              <w:spacing w:before="0" w:after="283"/>
              <w:jc w:val="right"/>
              <w:rPr/>
            </w:pPr>
            <w:r>
              <w:rPr/>
              <w:t>(382,665</w:t>
            </w:r>
          </w:p>
        </w:tc>
        <w:tc>
          <w:tcPr>
            <w:tcW w:w="187"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left"/>
              <w:rPr/>
            </w:pPr>
            <w:r>
              <w:rPr/>
              <w:t>$</w:t>
            </w:r>
          </w:p>
        </w:tc>
        <w:tc>
          <w:tcPr>
            <w:tcW w:w="39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00" w:name="xdx_8AD_z12sYbvqXiXi"/>
      <w:bookmarkEnd w:id="130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amounts above are included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 are measured at fair value. Prior to stockholder approval, the Exchangeable Shares derivative liability was measured using valuation techniques with significant unobservable inputs and classified within Level 3 of the fair value hierarchy. The embedded derivative liabilities related to the Convertible Debentures are measured at fair value and include inputs that may be classified within Level 3, as applicable. See Note 12, Fair Value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Cross-references to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Derivative-related qualitative, quantitative, and tabular disclosures are included in more than one note to the consolidated financial statements. Accordingly, the Company provides the following cross-references: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Summary of Significant Accounting Policies (derivative accounting policies, Exchangeable Shares derivative liability policy, and embedded derivative bifurcation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Stockholder Equity (Exchangeable Shares and Special Voting Preferred Stock; reclassification to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Options, Restricted Stock Units and Warrants (warrant terms and Fundamental Transaction cash settlement / repurchase activity)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Business Acquisition (Exchangeable Shares issued as consideration and related acquisition disclosures)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 Fair Value Measurements (fair value hierarchy and valuation inputs for Level 3 instruments, as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 Convertible Debentures (embedded derivative liability amounts and related debenture disclosures)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01" w:name="xdx_803_eus-gaap--SegmentReportingDisclo"/>
      <w:bookmarkEnd w:id="1301"/>
      <w:r>
        <w:rPr>
          <w:rFonts w:ascii="Times New Roman;Times;Serif" w:hAnsi="Times New Roman;Times;Serif"/>
          <w:b/>
          <w:i w:val="false"/>
          <w:caps w:val="false"/>
          <w:smallCaps w:val="false"/>
          <w:sz w:val="20"/>
        </w:rPr>
        <w:t xml:space="preserve">NOTE 18 – </w:t>
      </w:r>
      <w:bookmarkStart w:id="1302" w:name="xdx_820_zvIFYXot6Rve"/>
      <w:bookmarkEnd w:id="1302"/>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Decision Maker (CODM) and Segment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in connection with the acquisition of Streamex Exchange, the Company appointed Henry McPhie, former co-founder and CEO of Streamex Exchange, as its new Chief Executive Officer and Board of Directors. As a result of this leadership change, Mr. McPhie was designated as the Company’s new Chief Operating Decision Maker (“CODM”), replacing the Company’s former CEO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change, the Company re-evaluated its operating and reportable segments based on the internal financial information reviewed by the CODM for purposes of performance assessment and resource allocation. Although the acquisition of Streamex Exchange introduced a new line of business focused on digital asset infrastructure and tokenization of real-world assets (“Streamex Exchange platform), as of December 31, 2025, Streamex Exchange platform had not yet commenced material revenue-generating operations and remained in a development stage. Accordingly, the CODM has not yet begun reviewing discrete operating results of the Digital Asset Business separately for purposes of performance assessment or resource allocation. As of December 31, 2025, the CODM continues to evaluate the Company’s financial performance on a consolidated basis, and the internal reporting structure has not been modified to reflect discrete segment-level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that, as of December 31, 2025, the Company continues to operate as a single reportable segment. This conclusion is based on the manner in which the Chief Operating Decision Maker (“CODM”) evaluates financial performance and allocates resources, which does not include the regular review of discrete financial information for Streamex Exchange as a separate operating segment. Accordingly, no change in reportable segments has occurred as of December 31, 2025. The Company will continue to evaluate its internal reporting structure and CODM review practices and will update its segment disclosures in future periods if the criteria for separate operating or reportable segments are met.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280-10-50-34, if a change in reportable segments occurs in a future period, the Company will recast prior-period segment disclosures retrospectively to reflect the new segment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CODM evaluates financial performance and allocates resources on a consolidated basis. The Company manages its operations as </w:t>
      </w:r>
      <w:bookmarkStart w:id="1303" w:name="xdx_909_eus-gaap--NumberOfReportableSegm"/>
      <w:bookmarkEnd w:id="1303"/>
      <w:r>
        <w:rPr>
          <w:rFonts w:ascii="Times New Roman;Times;Serif" w:hAnsi="Times New Roman;Times;Serif"/>
          <w:b w:val="false"/>
          <w:i w:val="false"/>
          <w:caps w:val="false"/>
          <w:smallCaps w:val="false"/>
          <w:sz w:val="20"/>
        </w:rPr>
        <w:t>one integrated business, and the CODM does not receive or review separate financial information for Streamex Exchange or any other business unit. This approach reflects the manner in which the CODM:</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Assesses performance against budgeted targets;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Forecasts future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Makes strategic and operational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Allocates resources across the organization.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has determined that it operates as one reportable and operating segment as of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whether the Streamex Exchange business may become a separate reportable segment in future periods, depending on the scale and financial significance, and the CODM’s review of discrete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measure used by the CODM to assess performance is consolidated net loss, which is reviewed in conjunction with other consolidated financial metrics. The CODM also evaluates actual results against budgeted amounts and considers consolidated operating results in making decisions about research and development investments and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 are not separately reported to or reviewed by the CODM. Therefore, the Company does not disclose segment asset information. All assets are managed on a consolidated basis and are reported in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disclose geographic revenue or customer concentration by segment, as such information is not reviewed by the CODM. However, this will be reassessed as operations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and Expense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04" w:name="xdx_892_eus-gaap--ScheduleOfSegmentRepor"/>
      <w:bookmarkEnd w:id="1304"/>
      <w:r>
        <w:rPr>
          <w:rFonts w:ascii="Times New Roman;Times;Serif" w:hAnsi="Times New Roman;Times;Serif"/>
          <w:b w:val="false"/>
          <w:i w:val="false"/>
          <w:caps w:val="false"/>
          <w:smallCaps w:val="false"/>
          <w:sz w:val="20"/>
        </w:rPr>
        <w:t>Information concerning the operations of the Company’s reportable segments is as follows (in thousands):</w:t>
      </w:r>
    </w:p>
    <w:p>
      <w:pPr>
        <w:pStyle w:val="TextBody"/>
        <w:bidi w:val="0"/>
        <w:spacing w:before="0" w:after="0"/>
        <w:ind w:left="0" w:right="0" w:hanging="0"/>
        <w:jc w:val="both"/>
        <w:rPr>
          <w:caps w:val="false"/>
          <w:smallCaps w:val="false"/>
        </w:rPr>
      </w:pPr>
      <w:r>
        <w:rPr>
          <w:caps w:val="false"/>
          <w:smallCaps w:val="false"/>
        </w:rPr>
        <w:t> </w:t>
      </w:r>
      <w:bookmarkStart w:id="1305" w:name="xdx_8BE_zA3uthrNlapl"/>
      <w:bookmarkEnd w:id="1305"/>
      <w:r>
        <w:rPr>
          <w:rFonts w:ascii="Times New Roman;Times;Serif" w:hAnsi="Times New Roman;Times;Serif"/>
          <w:b w:val="false"/>
          <w:i w:val="false"/>
          <w:caps w:val="false"/>
          <w:smallCaps w:val="false"/>
          <w:sz w:val="20"/>
        </w:rPr>
        <w:t>SCHEDULE OF SEGMENT REPORTING </w:t>
      </w:r>
    </w:p>
    <w:tbl>
      <w:tblPr>
        <w:tblW w:w="9838" w:type="dxa"/>
        <w:jc w:val="left"/>
        <w:tblInd w:w="0" w:type="dxa"/>
        <w:tblLayout w:type="fixed"/>
        <w:tblCellMar>
          <w:top w:w="0" w:type="dxa"/>
          <w:left w:w="0" w:type="dxa"/>
          <w:bottom w:w="0" w:type="dxa"/>
          <w:right w:w="0" w:type="dxa"/>
        </w:tblCellMar>
      </w:tblPr>
      <w:tblGrid>
        <w:gridCol w:w="6170"/>
        <w:gridCol w:w="60"/>
        <w:gridCol w:w="237"/>
        <w:gridCol w:w="1483"/>
        <w:gridCol w:w="161"/>
        <w:gridCol w:w="101"/>
        <w:gridCol w:w="237"/>
        <w:gridCol w:w="1279"/>
        <w:gridCol w:w="110"/>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6" w:name="xdx_49D_20250101__20251231__us-gaap--Sta"/>
            <w:bookmarkEnd w:id="1306"/>
          </w:p>
        </w:tc>
        <w:tc>
          <w:tcPr>
            <w:tcW w:w="1720"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bookmarkStart w:id="1307" w:name="xdx_49F_20240101__20241231__us-gaap--Sta"/>
            <w:bookmarkEnd w:id="1307"/>
          </w:p>
        </w:tc>
        <w:tc>
          <w:tcPr>
            <w:tcW w:w="151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308" w:name="xdx_409_eus-gaap--RevenueFromContractWit"/>
            <w:bookmarkEnd w:id="1308"/>
          </w:p>
        </w:tc>
      </w:tr>
      <w:tr>
        <w:trPr/>
        <w:tc>
          <w:tcPr>
            <w:tcW w:w="61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483"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79" w:type="dxa"/>
            <w:tcBorders/>
            <w:shd w:fill="CCEEFF" w:val="cle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Less Segment expenses: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09" w:name="xdx_409_eus-gaap--ResearchAndDevelopment"/>
            <w:bookmarkEnd w:id="1309"/>
          </w:p>
        </w:tc>
      </w:tr>
      <w:tr>
        <w:trPr/>
        <w:tc>
          <w:tcPr>
            <w:tcW w:w="617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31</w:t>
            </w:r>
          </w:p>
        </w:tc>
        <w:tc>
          <w:tcPr>
            <w:tcW w:w="16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742</w:t>
            </w:r>
          </w:p>
        </w:tc>
        <w:tc>
          <w:tcPr>
            <w:tcW w:w="110" w:type="dxa"/>
            <w:tcBorders/>
            <w:shd w:fill="CCEEFF" w:val="clear"/>
            <w:vAlign w:val="center"/>
          </w:tcPr>
          <w:p>
            <w:pPr>
              <w:pStyle w:val="TableContents"/>
              <w:bidi w:val="0"/>
              <w:spacing w:before="0" w:after="283"/>
              <w:jc w:val="left"/>
              <w:rPr/>
            </w:pPr>
            <w:r>
              <w:rPr/>
              <w:t> </w:t>
            </w:r>
            <w:bookmarkStart w:id="1310" w:name="xdx_40C_ecustom--ResearchAndDevelopmentS"/>
            <w:bookmarkEnd w:id="1310"/>
          </w:p>
        </w:tc>
      </w:tr>
      <w:tr>
        <w:trPr/>
        <w:tc>
          <w:tcPr>
            <w:tcW w:w="6170" w:type="dxa"/>
            <w:tcBorders/>
            <w:shd w:fill="FFFFFF" w:val="clear"/>
            <w:vAlign w:val="center"/>
          </w:tcPr>
          <w:p>
            <w:pPr>
              <w:pStyle w:val="TableContents"/>
              <w:bidi w:val="0"/>
              <w:spacing w:before="0" w:after="283"/>
              <w:jc w:val="left"/>
              <w:rPr/>
            </w:pPr>
            <w:r>
              <w:rPr/>
              <w:t>Research and development - stock-based compensation expenses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w:t>
            </w:r>
          </w:p>
        </w:tc>
        <w:tc>
          <w:tcPr>
            <w:tcW w:w="16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bookmarkStart w:id="1311" w:name="xdx_401_eus-gaap--GeneralAndAdministrati"/>
            <w:bookmarkEnd w:id="1311"/>
          </w:p>
        </w:tc>
      </w:tr>
      <w:tr>
        <w:trPr/>
        <w:tc>
          <w:tcPr>
            <w:tcW w:w="61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10,414</w:t>
            </w:r>
          </w:p>
        </w:tc>
        <w:tc>
          <w:tcPr>
            <w:tcW w:w="16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4,762</w:t>
            </w:r>
          </w:p>
        </w:tc>
        <w:tc>
          <w:tcPr>
            <w:tcW w:w="110" w:type="dxa"/>
            <w:tcBorders/>
            <w:shd w:fill="CCEEFF" w:val="clear"/>
            <w:vAlign w:val="center"/>
          </w:tcPr>
          <w:p>
            <w:pPr>
              <w:pStyle w:val="TableContents"/>
              <w:bidi w:val="0"/>
              <w:spacing w:before="0" w:after="283"/>
              <w:jc w:val="left"/>
              <w:rPr/>
            </w:pPr>
            <w:r>
              <w:rPr/>
              <w:t> </w:t>
            </w:r>
            <w:bookmarkStart w:id="1312" w:name="xdx_409_ecustom--GeneralAndAdministrativ"/>
            <w:bookmarkEnd w:id="1312"/>
          </w:p>
        </w:tc>
      </w:tr>
      <w:tr>
        <w:trPr/>
        <w:tc>
          <w:tcPr>
            <w:tcW w:w="6170" w:type="dxa"/>
            <w:tcBorders/>
            <w:shd w:fill="FFFFFF" w:val="clear"/>
            <w:vAlign w:val="center"/>
          </w:tcPr>
          <w:p>
            <w:pPr>
              <w:pStyle w:val="TableContents"/>
              <w:bidi w:val="0"/>
              <w:spacing w:before="0" w:after="283"/>
              <w:jc w:val="left"/>
              <w:rPr/>
            </w:pPr>
            <w:r>
              <w:rPr/>
              <w:t>General and administrative - stock-based compensation expenses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57,115</w:t>
            </w:r>
          </w:p>
        </w:tc>
        <w:tc>
          <w:tcPr>
            <w:tcW w:w="16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6,867</w:t>
            </w:r>
          </w:p>
        </w:tc>
        <w:tc>
          <w:tcPr>
            <w:tcW w:w="110" w:type="dxa"/>
            <w:tcBorders/>
            <w:shd w:fill="FFFFFF" w:val="clear"/>
            <w:vAlign w:val="center"/>
          </w:tcPr>
          <w:p>
            <w:pPr>
              <w:pStyle w:val="TableContents"/>
              <w:bidi w:val="0"/>
              <w:spacing w:before="0" w:after="283"/>
              <w:jc w:val="left"/>
              <w:rPr/>
            </w:pPr>
            <w:r>
              <w:rPr/>
              <w:t> </w:t>
            </w:r>
            <w:bookmarkStart w:id="1313" w:name="xdx_402_eus-gaap--ImpairmentOfLongLivedA"/>
            <w:bookmarkEnd w:id="1313"/>
          </w:p>
        </w:tc>
      </w:tr>
      <w:tr>
        <w:trPr/>
        <w:tc>
          <w:tcPr>
            <w:tcW w:w="6170" w:type="dxa"/>
            <w:tcBorders/>
            <w:shd w:fill="CCEEFF" w:val="clear"/>
            <w:vAlign w:val="center"/>
          </w:tcPr>
          <w:p>
            <w:pPr>
              <w:pStyle w:val="TableContents"/>
              <w:bidi w:val="0"/>
              <w:spacing w:before="0" w:after="283"/>
              <w:jc w:val="left"/>
              <w:rPr/>
            </w:pPr>
            <w:r>
              <w:rPr/>
              <w:t>Impairment of long term assets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253</w:t>
            </w:r>
          </w:p>
        </w:tc>
        <w:tc>
          <w:tcPr>
            <w:tcW w:w="110" w:type="dxa"/>
            <w:tcBorders/>
            <w:shd w:fill="CCEEFF" w:val="clear"/>
            <w:vAlign w:val="center"/>
          </w:tcPr>
          <w:p>
            <w:pPr>
              <w:pStyle w:val="TableContents"/>
              <w:bidi w:val="0"/>
              <w:spacing w:before="0" w:after="283"/>
              <w:jc w:val="left"/>
              <w:rPr/>
            </w:pPr>
            <w:r>
              <w:rPr/>
              <w:t> </w:t>
            </w:r>
            <w:bookmarkStart w:id="1314" w:name="xdx_400_eus-gaap--DepreciationAndAmortiz"/>
            <w:bookmarkEnd w:id="1314"/>
          </w:p>
        </w:tc>
      </w:tr>
      <w:tr>
        <w:trPr/>
        <w:tc>
          <w:tcPr>
            <w:tcW w:w="61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FFFFFF" w:val="clear"/>
            <w:tcMar>
              <w:bottom w:w="28" w:type="dxa"/>
            </w:tcMar>
            <w:vAlign w:val="center"/>
          </w:tcPr>
          <w:p>
            <w:pPr>
              <w:pStyle w:val="TableContents"/>
              <w:bidi w:val="0"/>
              <w:spacing w:before="0" w:after="283"/>
              <w:jc w:val="right"/>
              <w:rPr/>
            </w:pPr>
            <w:r>
              <w:rPr/>
              <w:t>3,534</w:t>
            </w:r>
          </w:p>
        </w:tc>
        <w:tc>
          <w:tcPr>
            <w:tcW w:w="16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FFFFFF" w:val="clear"/>
            <w:tcMar>
              <w:bottom w:w="28" w:type="dxa"/>
            </w:tcM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bookmarkStart w:id="1315" w:name="xdx_40A_eus-gaap--OperatingExpenses_i01N"/>
            <w:bookmarkEnd w:id="1315"/>
          </w:p>
        </w:tc>
      </w:tr>
      <w:tr>
        <w:trPr/>
        <w:tc>
          <w:tcPr>
            <w:tcW w:w="6170" w:type="dxa"/>
            <w:tcBorders/>
            <w:shd w:fill="CCEEFF" w:val="clear"/>
            <w:vAlign w:val="center"/>
          </w:tcPr>
          <w:p>
            <w:pPr>
              <w:pStyle w:val="TableContents"/>
              <w:bidi w:val="0"/>
              <w:spacing w:before="0" w:after="283"/>
              <w:jc w:val="left"/>
              <w:rPr/>
            </w:pPr>
            <w:r>
              <w:rPr/>
              <w:t>Total operating and segment expense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71,094</w:t>
            </w:r>
          </w:p>
        </w:tc>
        <w:tc>
          <w:tcPr>
            <w:tcW w:w="16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12,902</w:t>
            </w:r>
          </w:p>
        </w:tc>
        <w:tc>
          <w:tcPr>
            <w:tcW w:w="11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Plus: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6" w:name="xdx_40E_eus-gaap--InterestIncomeExpenseN"/>
            <w:bookmarkEnd w:id="1316"/>
          </w:p>
        </w:tc>
      </w:tr>
      <w:tr>
        <w:trPr/>
        <w:tc>
          <w:tcPr>
            <w:tcW w:w="6170" w:type="dxa"/>
            <w:tcBorders/>
            <w:shd w:fill="CCEEFF" w:val="clear"/>
            <w:vAlign w:val="center"/>
          </w:tcPr>
          <w:p>
            <w:pPr>
              <w:pStyle w:val="TableContents"/>
              <w:bidi w:val="0"/>
              <w:spacing w:before="0" w:after="283"/>
              <w:jc w:val="left"/>
              <w:rPr/>
            </w:pPr>
            <w:r>
              <w:rPr/>
              <w:t>Interest income (expense)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(1,592</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317" w:name="xdx_40C_eus-gaap--EquitySecuritiesFvNiGa"/>
            <w:bookmarkEnd w:id="1317"/>
          </w:p>
        </w:tc>
      </w:tr>
      <w:tr>
        <w:trPr/>
        <w:tc>
          <w:tcPr>
            <w:tcW w:w="6170" w:type="dxa"/>
            <w:tcBorders/>
            <w:shd w:fill="FFFFFF" w:val="clear"/>
            <w:vAlign w:val="center"/>
          </w:tcPr>
          <w:p>
            <w:pPr>
              <w:pStyle w:val="TableContents"/>
              <w:bidi w:val="0"/>
              <w:spacing w:before="0" w:after="283"/>
              <w:jc w:val="left"/>
              <w:rPr/>
            </w:pPr>
            <w:r>
              <w:rPr/>
              <w:t>Change in fair value of equity investment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(777</w:t>
            </w:r>
          </w:p>
        </w:tc>
        <w:tc>
          <w:tcPr>
            <w:tcW w:w="161"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18" w:name="xdx_401_ecustom--LossOnWarrantSettlement"/>
            <w:bookmarkEnd w:id="1318"/>
          </w:p>
        </w:tc>
      </w:tr>
      <w:tr>
        <w:trPr/>
        <w:tc>
          <w:tcPr>
            <w:tcW w:w="6170" w:type="dxa"/>
            <w:tcBorders/>
            <w:shd w:fill="CCEEFF" w:val="clear"/>
            <w:vAlign w:val="center"/>
          </w:tcPr>
          <w:p>
            <w:pPr>
              <w:pStyle w:val="TableContents"/>
              <w:bidi w:val="0"/>
              <w:spacing w:before="0" w:after="283"/>
              <w:jc w:val="left"/>
              <w:rPr/>
            </w:pPr>
            <w:r>
              <w:rPr/>
              <w:t>Loss on warrant settlement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(8,049</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19" w:name="xdx_40A_eus-gaap--DerivativeGainLossOnDe"/>
            <w:bookmarkEnd w:id="1319"/>
          </w:p>
        </w:tc>
      </w:tr>
      <w:tr>
        <w:trPr/>
        <w:tc>
          <w:tcPr>
            <w:tcW w:w="6170" w:type="dxa"/>
            <w:tcBorders/>
            <w:shd w:fill="FFFFFF" w:val="clear"/>
            <w:vAlign w:val="center"/>
          </w:tcPr>
          <w:p>
            <w:pPr>
              <w:pStyle w:val="TableContents"/>
              <w:bidi w:val="0"/>
              <w:spacing w:before="0" w:after="283"/>
              <w:jc w:val="left"/>
              <w:rPr/>
            </w:pPr>
            <w:r>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(389,680</w:t>
            </w:r>
          </w:p>
        </w:tc>
        <w:tc>
          <w:tcPr>
            <w:tcW w:w="161"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320" w:name="xdx_40B_eus-gaap--EmbeddedDerivativeGain"/>
            <w:bookmarkEnd w:id="1320"/>
          </w:p>
        </w:tc>
      </w:tr>
      <w:tr>
        <w:trPr/>
        <w:tc>
          <w:tcPr>
            <w:tcW w:w="6170" w:type="dxa"/>
            <w:tcBorders/>
            <w:shd w:fill="CCEEFF" w:val="clear"/>
            <w:vAlign w:val="center"/>
          </w:tcPr>
          <w:p>
            <w:pPr>
              <w:pStyle w:val="TableContents"/>
              <w:bidi w:val="0"/>
              <w:spacing w:before="0" w:after="283"/>
              <w:jc w:val="left"/>
              <w:rPr/>
            </w:pPr>
            <w:r>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7,015</w:t>
            </w:r>
          </w:p>
        </w:tc>
        <w:tc>
          <w:tcPr>
            <w:tcW w:w="16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21" w:name="xdx_405_eus-gaap--GainsLossesOnExtinguis"/>
            <w:bookmarkEnd w:id="1321"/>
          </w:p>
        </w:tc>
      </w:tr>
      <w:tr>
        <w:trPr/>
        <w:tc>
          <w:tcPr>
            <w:tcW w:w="6170" w:type="dxa"/>
            <w:tcBorders/>
            <w:shd w:fill="FFFFFF" w:val="clear"/>
            <w:vAlign w:val="center"/>
          </w:tcPr>
          <w:p>
            <w:pPr>
              <w:pStyle w:val="TableContents"/>
              <w:bidi w:val="0"/>
              <w:spacing w:before="0" w:after="283"/>
              <w:jc w:val="left"/>
              <w:rPr/>
            </w:pPr>
            <w:r>
              <w:rPr/>
              <w:t>Gain on settlement and extinguishment of debt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pPr>
            <w:r>
              <w:rPr/>
              <w:t>196</w:t>
            </w:r>
          </w:p>
        </w:tc>
        <w:tc>
          <w:tcPr>
            <w:tcW w:w="16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2,511</w:t>
            </w:r>
          </w:p>
        </w:tc>
        <w:tc>
          <w:tcPr>
            <w:tcW w:w="110" w:type="dxa"/>
            <w:tcBorders/>
            <w:shd w:fill="FFFFFF" w:val="clear"/>
            <w:vAlign w:val="center"/>
          </w:tcPr>
          <w:p>
            <w:pPr>
              <w:pStyle w:val="TableContents"/>
              <w:bidi w:val="0"/>
              <w:spacing w:before="0" w:after="283"/>
              <w:jc w:val="left"/>
              <w:rPr/>
            </w:pPr>
            <w:r>
              <w:rPr/>
              <w:t> </w:t>
            </w:r>
            <w:bookmarkStart w:id="1322" w:name="xdx_400_eus-gaap--OtherNonoperatingIncom"/>
            <w:bookmarkEnd w:id="1322"/>
          </w:p>
        </w:tc>
      </w:tr>
      <w:tr>
        <w:trPr/>
        <w:tc>
          <w:tcPr>
            <w:tcW w:w="617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 </w:t>
            </w:r>
            <w:bookmarkStart w:id="1323" w:name="xdx_406_eus-gaap--NonoperatingIncomeExpe"/>
            <w:bookmarkEnd w:id="1323"/>
          </w:p>
        </w:tc>
      </w:tr>
      <w:tr>
        <w:trPr/>
        <w:tc>
          <w:tcPr>
            <w:tcW w:w="6170"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FFFFFF" w:val="clear"/>
            <w:tcMar>
              <w:bottom w:w="28" w:type="dxa"/>
            </w:tcMar>
            <w:vAlign w:val="center"/>
          </w:tcPr>
          <w:p>
            <w:pPr>
              <w:pStyle w:val="TableContents"/>
              <w:bidi w:val="0"/>
              <w:spacing w:before="0" w:after="283"/>
              <w:jc w:val="right"/>
              <w:rPr/>
            </w:pPr>
            <w:r>
              <w:rPr/>
              <w:t>(392,920</w:t>
            </w:r>
          </w:p>
        </w:tc>
        <w:tc>
          <w:tcPr>
            <w:tcW w:w="161"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FFFFFF" w:val="clear"/>
            <w:tcMar>
              <w:bottom w:w="28" w:type="dxa"/>
            </w:tcMar>
            <w:vAlign w:val="center"/>
          </w:tcPr>
          <w:p>
            <w:pPr>
              <w:pStyle w:val="TableContents"/>
              <w:bidi w:val="0"/>
              <w:spacing w:before="0" w:after="283"/>
              <w:jc w:val="right"/>
              <w:rPr/>
            </w:pPr>
            <w:r>
              <w:rPr/>
              <w:t>2,523</w:t>
            </w:r>
          </w:p>
        </w:tc>
        <w:tc>
          <w:tcPr>
            <w:tcW w:w="110" w:type="dxa"/>
            <w:tcBorders/>
            <w:shd w:fill="FFFFFF" w:val="clear"/>
            <w:vAlign w:val="center"/>
          </w:tcPr>
          <w:p>
            <w:pPr>
              <w:pStyle w:val="TableContents"/>
              <w:bidi w:val="0"/>
              <w:spacing w:before="0" w:after="283"/>
              <w:jc w:val="left"/>
              <w:rPr/>
            </w:pPr>
            <w:r>
              <w:rPr/>
              <w:t> </w:t>
            </w:r>
            <w:bookmarkStart w:id="1324" w:name="xdx_40C_eus-gaap--IncomeTaxExpenseBenefi"/>
            <w:bookmarkEnd w:id="1324"/>
          </w:p>
        </w:tc>
      </w:tr>
      <w:tr>
        <w:trPr/>
        <w:tc>
          <w:tcPr>
            <w:tcW w:w="6170" w:type="dxa"/>
            <w:tcBorders/>
            <w:shd w:fill="CCEEFF" w:val="clear"/>
            <w:vAlign w:val="center"/>
          </w:tcPr>
          <w:p>
            <w:pPr>
              <w:pStyle w:val="TableContents"/>
              <w:bidi w:val="0"/>
              <w:spacing w:before="0" w:after="283"/>
              <w:jc w:val="left"/>
              <w:rPr/>
            </w:pPr>
            <w:r>
              <w:rPr/>
              <w:t>Income taxes (benefit)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CCEEFF" w:val="clear"/>
            <w:tcMar>
              <w:bottom w:w="28" w:type="dxa"/>
            </w:tcMar>
            <w:vAlign w:val="center"/>
          </w:tcPr>
          <w:p>
            <w:pPr>
              <w:pStyle w:val="TableContents"/>
              <w:bidi w:val="0"/>
              <w:spacing w:before="0" w:after="283"/>
              <w:jc w:val="right"/>
              <w:rPr/>
            </w:pPr>
            <w:r>
              <w:rPr/>
              <w:t>(1,254</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25" w:name="xdx_40B_eus-gaap--ProfitLoss_iT_pn3n3_mt"/>
            <w:bookmarkEnd w:id="1325"/>
          </w:p>
        </w:tc>
      </w:tr>
      <w:tr>
        <w:trPr/>
        <w:tc>
          <w:tcPr>
            <w:tcW w:w="6170" w:type="dxa"/>
            <w:tcBorders/>
            <w:shd w:fill="FFFFFF" w:val="clear"/>
            <w:vAlign w:val="center"/>
          </w:tcPr>
          <w:p>
            <w:pPr>
              <w:pStyle w:val="TableContents"/>
              <w:bidi w:val="0"/>
              <w:spacing w:before="0" w:after="283"/>
              <w:jc w:val="left"/>
              <w:rPr/>
            </w:pPr>
            <w:r>
              <w:rPr/>
              <w:t>Segment Net Loss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83" w:type="dxa"/>
            <w:tcBorders>
              <w:bottom w:val="single" w:sz="8" w:space="0" w:color="000000"/>
            </w:tcBorders>
            <w:shd w:fill="FFFFFF" w:val="clear"/>
            <w:tcMar>
              <w:bottom w:w="28" w:type="dxa"/>
            </w:tcMar>
            <w:vAlign w:val="center"/>
          </w:tcPr>
          <w:p>
            <w:pPr>
              <w:pStyle w:val="TableContents"/>
              <w:bidi w:val="0"/>
              <w:spacing w:before="0" w:after="283"/>
              <w:jc w:val="right"/>
              <w:rPr/>
            </w:pPr>
            <w:r>
              <w:rPr/>
              <w:t>(462,760</w:t>
            </w:r>
          </w:p>
        </w:tc>
        <w:tc>
          <w:tcPr>
            <w:tcW w:w="161"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79" w:type="dxa"/>
            <w:tcBorders>
              <w:bottom w:val="single" w:sz="8" w:space="0" w:color="000000"/>
            </w:tcBorders>
            <w:shd w:fill="FFFFFF" w:val="clear"/>
            <w:tcMar>
              <w:bottom w:w="28" w:type="dxa"/>
            </w:tcMar>
            <w:vAlign w:val="center"/>
          </w:tcPr>
          <w:p>
            <w:pPr>
              <w:pStyle w:val="TableContents"/>
              <w:bidi w:val="0"/>
              <w:spacing w:before="0" w:after="283"/>
              <w:jc w:val="right"/>
              <w:rPr/>
            </w:pPr>
            <w:r>
              <w:rPr/>
              <w:t>(10,339</w:t>
            </w:r>
          </w:p>
        </w:tc>
        <w:tc>
          <w:tcPr>
            <w:tcW w:w="110" w:type="dxa"/>
            <w:tcBorders/>
            <w:shd w:fill="FFFFFF" w:val="clear"/>
            <w:vAlign w:val="center"/>
          </w:tcPr>
          <w:p>
            <w:pPr>
              <w:pStyle w:val="TableContents"/>
              <w:bidi w:val="0"/>
              <w:spacing w:before="0" w:after="283"/>
              <w:jc w:val="left"/>
              <w:rPr/>
            </w:pPr>
            <w:r>
              <w:rPr/>
              <w:t>)</w:t>
            </w:r>
            <w:bookmarkStart w:id="1326" w:name="xdx_409_eus-gaap--NetIncomeLossAttributa"/>
            <w:bookmarkEnd w:id="1326"/>
          </w:p>
        </w:tc>
      </w:tr>
      <w:tr>
        <w:trPr/>
        <w:tc>
          <w:tcPr>
            <w:tcW w:w="617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1327" w:name="xdx_40D_eus-gaap--NetIncomeLoss_iT_pn3n3"/>
            <w:bookmarkEnd w:id="1327"/>
          </w:p>
        </w:tc>
      </w:tr>
      <w:tr>
        <w:trPr/>
        <w:tc>
          <w:tcPr>
            <w:tcW w:w="6170" w:type="dxa"/>
            <w:tcBorders/>
            <w:shd w:fill="FFFFFF" w:val="clear"/>
            <w:vAlign w:val="center"/>
          </w:tcPr>
          <w:p>
            <w:pPr>
              <w:pStyle w:val="TableContents"/>
              <w:bidi w:val="0"/>
              <w:spacing w:before="0" w:after="283"/>
              <w:jc w:val="left"/>
              <w:rPr/>
            </w:pPr>
            <w:r>
              <w:rPr/>
              <w:t>Net loss attributable to Streamex Corp.</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3" w:type="dxa"/>
            <w:tcBorders>
              <w:bottom w:val="double" w:sz="6" w:space="0" w:color="000000"/>
            </w:tcBorders>
            <w:shd w:fill="FFFFFF" w:val="clear"/>
            <w:tcMar>
              <w:bottom w:w="28" w:type="dxa"/>
            </w:tcMar>
            <w:vAlign w:val="center"/>
          </w:tcPr>
          <w:p>
            <w:pPr>
              <w:pStyle w:val="TableContents"/>
              <w:bidi w:val="0"/>
              <w:spacing w:before="0" w:after="283"/>
              <w:jc w:val="right"/>
              <w:rPr/>
            </w:pPr>
            <w:r>
              <w:rPr/>
              <w:t>(462,775</w:t>
            </w:r>
          </w:p>
        </w:tc>
        <w:tc>
          <w:tcPr>
            <w:tcW w:w="161" w:type="dxa"/>
            <w:tcBorders/>
            <w:shd w:fill="FFFFFF" w:val="clear"/>
            <w:vAlign w:val="center"/>
          </w:tcPr>
          <w:p>
            <w:pPr>
              <w:pStyle w:val="TableContents"/>
              <w:bidi w:val="0"/>
              <w:spacing w:before="0" w:after="283"/>
              <w:jc w:val="left"/>
              <w:rPr/>
            </w:pPr>
            <w:r>
              <w:rPr/>
              <w:t>)</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FFFFFF" w:val="clear"/>
            <w:tcMar>
              <w:bottom w:w="28" w:type="dxa"/>
            </w:tcMar>
            <w:vAlign w:val="center"/>
          </w:tcPr>
          <w:p>
            <w:pPr>
              <w:pStyle w:val="TableContents"/>
              <w:bidi w:val="0"/>
              <w:spacing w:before="0" w:after="283"/>
              <w:jc w:val="right"/>
              <w:rPr/>
            </w:pPr>
            <w:r>
              <w:rPr/>
              <w:t>(10,330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1328" w:name="xdx_8A7_z2ts2IqjEGbd"/>
      <w:bookmarkEnd w:id="132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29" w:name="xdx_801_eus-gaap--RelatedPartyTransactio"/>
      <w:bookmarkEnd w:id="1329"/>
      <w:r>
        <w:rPr>
          <w:rFonts w:ascii="Times New Roman;Times;Serif" w:hAnsi="Times New Roman;Times;Serif"/>
          <w:b/>
          <w:i w:val="false"/>
          <w:caps w:val="false"/>
          <w:smallCaps w:val="false"/>
          <w:sz w:val="20"/>
        </w:rPr>
        <w:t xml:space="preserve">NOTE 19 </w:t>
      </w:r>
      <w:r>
        <w:rPr>
          <w:rFonts w:ascii="Times New Roman;Times;Serif" w:hAnsi="Times New Roman;Times;Serif"/>
          <w:b w:val="false"/>
          <w:i w:val="false"/>
          <w:caps w:val="false"/>
          <w:smallCaps w:val="false"/>
          <w:sz w:val="20"/>
        </w:rPr>
        <w:t xml:space="preserve">– </w:t>
      </w:r>
      <w:bookmarkStart w:id="1330" w:name="xdx_82A_zzUU04nSCd58"/>
      <w:bookmarkEnd w:id="1330"/>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as of December 31, 2025 include approximately $</w:t>
      </w:r>
      <w:bookmarkStart w:id="1331" w:name="xdx_90F_eus-gaap--OtherLiabilitiesCurren"/>
      <w:bookmarkEnd w:id="1331"/>
      <w:r>
        <w:rPr>
          <w:rFonts w:ascii="Times New Roman;Times;Serif" w:hAnsi="Times New Roman;Times;Serif"/>
          <w:b w:val="false"/>
          <w:i w:val="false"/>
          <w:caps w:val="false"/>
          <w:smallCaps w:val="false"/>
          <w:sz w:val="20"/>
        </w:rPr>
        <w:t>66 due to related parties, compared to $</w:t>
      </w:r>
      <w:bookmarkStart w:id="1332" w:name="xdx_902_eus-gaap--OtherLiabilitiesCurren"/>
      <w:bookmarkEnd w:id="1332"/>
      <w:r>
        <w:rPr>
          <w:rFonts w:ascii="Times New Roman;Times;Serif" w:hAnsi="Times New Roman;Times;Serif"/>
          <w:b w:val="false"/>
          <w:i w:val="false"/>
          <w:caps w:val="false"/>
          <w:smallCaps w:val="false"/>
          <w:sz w:val="20"/>
        </w:rPr>
        <w:t>19 as of December 31, 2024. These amounts primarily relate to executives and board compensation, severance, and reimbursements. Included in the due from related party balance as of December 31, 2025 is $</w:t>
      </w:r>
      <w:bookmarkStart w:id="1333" w:name="xdx_90A_eus-gaap--OtherReceivables_iI_pn"/>
      <w:bookmarkEnd w:id="1333"/>
      <w:r>
        <w:rPr>
          <w:rFonts w:ascii="Times New Roman;Times;Serif" w:hAnsi="Times New Roman;Times;Serif"/>
          <w:b w:val="false"/>
          <w:i w:val="false"/>
          <w:caps w:val="false"/>
          <w:smallCaps w:val="false"/>
          <w:sz w:val="20"/>
        </w:rPr>
        <w:t>11 thousand due from Henry McPhie, the Company’s new Chief Executive Officer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34" w:name="xdx_80C_eus-gaap--SubsequentEventsTextBl"/>
      <w:bookmarkEnd w:id="1334"/>
      <w:r>
        <w:rPr>
          <w:rFonts w:ascii="Times New Roman;Times;Serif" w:hAnsi="Times New Roman;Times;Serif"/>
          <w:b/>
          <w:i w:val="false"/>
          <w:caps w:val="false"/>
          <w:smallCaps w:val="false"/>
          <w:sz w:val="20"/>
        </w:rPr>
        <w:t>NOTE 20</w:t>
      </w:r>
      <w:r>
        <w:rPr>
          <w:rFonts w:ascii="Times New Roman;Times;Serif" w:hAnsi="Times New Roman;Times;Serif"/>
          <w:b w:val="false"/>
          <w:i w:val="false"/>
          <w:caps w:val="false"/>
          <w:smallCaps w:val="false"/>
          <w:sz w:val="20"/>
        </w:rPr>
        <w:t xml:space="preserve"> – </w:t>
      </w:r>
      <w:bookmarkStart w:id="1335" w:name="xdx_820_zx1SPlP3tCYf"/>
      <w:bookmarkEnd w:id="133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the date on which these financial statements were issued. Other than as described in the notes above, the Company did not have any material subsequent events that impacted its financial statements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Underwriting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an underwriting agreement with Needham &amp; Company, LLC, as representative of the several underwriters, in connection with an underwritten public offering of the Company’s common stock. The Company issued </w:t>
      </w:r>
      <w:bookmarkStart w:id="1336" w:name="xdx_907_eus-gaap--StockIssuedDuringPerio"/>
      <w:bookmarkEnd w:id="1336"/>
      <w:r>
        <w:rPr>
          <w:rFonts w:ascii="Times New Roman;Times;Serif" w:hAnsi="Times New Roman;Times;Serif"/>
          <w:b w:val="false"/>
          <w:i w:val="false"/>
          <w:caps w:val="false"/>
          <w:smallCaps w:val="false"/>
          <w:sz w:val="20"/>
        </w:rPr>
        <w:t>11,666,667 shares of common stock at a public offering price of $</w:t>
      </w:r>
      <w:bookmarkStart w:id="1337" w:name="xdx_90F_eus-gaap--SharePrice_iI_pid_c202"/>
      <w:bookmarkEnd w:id="1337"/>
      <w:r>
        <w:rPr>
          <w:rFonts w:ascii="Times New Roman;Times;Serif" w:hAnsi="Times New Roman;Times;Serif"/>
          <w:b w:val="false"/>
          <w:i w:val="false"/>
          <w:caps w:val="false"/>
          <w:smallCaps w:val="false"/>
          <w:sz w:val="20"/>
        </w:rPr>
        <w:t xml:space="preserve">3.00 per share. The underwriters fully exercised their over-allotment option, resulting in the issuance of an additional </w:t>
      </w:r>
      <w:bookmarkStart w:id="1338" w:name="xdx_90D_eus-gaap--StockIssuedDuringPerio"/>
      <w:bookmarkEnd w:id="1338"/>
      <w:r>
        <w:rPr>
          <w:rFonts w:ascii="Times New Roman;Times;Serif" w:hAnsi="Times New Roman;Times;Serif"/>
          <w:b w:val="false"/>
          <w:i w:val="false"/>
          <w:caps w:val="false"/>
          <w:smallCaps w:val="false"/>
          <w:sz w:val="20"/>
        </w:rPr>
        <w:t>1,750,000 shares of common stock. Aggregate gross proceeds from the offering, including the over-allotment option, were approximately $</w:t>
      </w:r>
      <w:bookmarkStart w:id="1339" w:name="xdx_907_eus-gaap--ProceedsFromIssuanceIn"/>
      <w:bookmarkEnd w:id="1339"/>
      <w:r>
        <w:rPr>
          <w:rFonts w:ascii="Times New Roman;Times;Serif" w:hAnsi="Times New Roman;Times;Serif"/>
          <w:b w:val="false"/>
          <w:i w:val="false"/>
          <w:caps w:val="false"/>
          <w:smallCaps w:val="false"/>
          <w:sz w:val="20"/>
        </w:rPr>
        <w:t>40.25 million, before underwriting discounts, commissions, and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Standby 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entered into a SEPA with Yorkville, pursuant to which the Company had the right, but not the obligation, to sell shares of common stock to the investor from time to time, subject to specified terms and limitations. The Company controlled the timing and amount of any sales and, absent a waiver, could not deliver an advance notice under the SEPA until the secured convertible debentures had been repaid and/or converted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delivered a notice terminating the SEPA with Yorkville, effective five trading days after the notice date. The Company did not sell any securities under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Convertible Debenture Conversion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delivered an irrevocable optional prepayment notice with respect to its secured convertible debentures issued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the holder elected to convert $</w:t>
      </w:r>
      <w:bookmarkStart w:id="1340" w:name="xdx_901_eus-gaap--DebtInstrumentFaceAmou"/>
      <w:bookmarkEnd w:id="1340"/>
      <w:r>
        <w:rPr>
          <w:rFonts w:ascii="Times New Roman;Times;Serif" w:hAnsi="Times New Roman;Times;Serif"/>
          <w:b w:val="false"/>
          <w:i w:val="false"/>
          <w:caps w:val="false"/>
          <w:smallCaps w:val="false"/>
          <w:sz w:val="20"/>
        </w:rPr>
        <w:t>15.0 million of principal, with no accrued interest, at a conversion price of $</w:t>
      </w:r>
      <w:bookmarkStart w:id="1341" w:name="xdx_904_eus-gaap--DebtInstrumentConverti"/>
      <w:bookmarkEnd w:id="1341"/>
      <w:r>
        <w:rPr>
          <w:rFonts w:ascii="Times New Roman;Times;Serif" w:hAnsi="Times New Roman;Times;Serif"/>
          <w:b w:val="false"/>
          <w:i w:val="false"/>
          <w:caps w:val="false"/>
          <w:smallCaps w:val="false"/>
          <w:sz w:val="20"/>
        </w:rPr>
        <w:t xml:space="preserve">4.00 per share, resulting in the issuance of </w:t>
      </w:r>
      <w:bookmarkStart w:id="1342" w:name="xdx_909_eus-gaap--SharesIssued_iI_pid_c2"/>
      <w:bookmarkEnd w:id="1342"/>
      <w:r>
        <w:rPr>
          <w:rFonts w:ascii="Times New Roman;Times;Serif" w:hAnsi="Times New Roman;Times;Serif"/>
          <w:b w:val="false"/>
          <w:i w:val="false"/>
          <w:caps w:val="false"/>
          <w:smallCaps w:val="false"/>
          <w:sz w:val="20"/>
        </w:rPr>
        <w:t>3,750,000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conversion election period, the Company prepaid the remaining amounts outstanding under the Yorkville Debentures for an aggregate cash payoff of approximately $</w:t>
      </w:r>
      <w:bookmarkStart w:id="1343" w:name="xdx_90A_eus-gaap--PaymentsOfLoanCosts_pn"/>
      <w:bookmarkEnd w:id="1343"/>
      <w:r>
        <w:rPr>
          <w:rFonts w:ascii="Times New Roman;Times;Serif" w:hAnsi="Times New Roman;Times;Serif"/>
          <w:b w:val="false"/>
          <w:i w:val="false"/>
          <w:caps w:val="false"/>
          <w:smallCaps w:val="false"/>
          <w:sz w:val="20"/>
        </w:rPr>
        <w:t>38.9 million, consisting of $</w:t>
      </w:r>
      <w:bookmarkStart w:id="1344" w:name="xdx_909_eus-gaap--DebtInstrumentFaceAmou"/>
      <w:bookmarkEnd w:id="1344"/>
      <w:r>
        <w:rPr>
          <w:rFonts w:ascii="Times New Roman;Times;Serif" w:hAnsi="Times New Roman;Times;Serif"/>
          <w:b w:val="false"/>
          <w:i w:val="false"/>
          <w:caps w:val="false"/>
          <w:smallCaps w:val="false"/>
          <w:sz w:val="20"/>
        </w:rPr>
        <w:t>35.0 million of principal, $</w:t>
      </w:r>
      <w:bookmarkStart w:id="1345" w:name="xdx_903_eus-gaap--DebtInstrumentUnamorti"/>
      <w:bookmarkEnd w:id="1345"/>
      <w:r>
        <w:rPr>
          <w:rFonts w:ascii="Times New Roman;Times;Serif" w:hAnsi="Times New Roman;Times;Serif"/>
          <w:b w:val="false"/>
          <w:i w:val="false"/>
          <w:caps w:val="false"/>
          <w:smallCaps w:val="false"/>
          <w:sz w:val="20"/>
        </w:rPr>
        <w:t>3.5 million of prepayment premium, and approximately $</w:t>
      </w:r>
      <w:bookmarkStart w:id="1346" w:name="xdx_907_eus-gaap--DebtInstrumentIncrease"/>
      <w:bookmarkEnd w:id="1346"/>
      <w:r>
        <w:rPr>
          <w:rFonts w:ascii="Times New Roman;Times;Serif" w:hAnsi="Times New Roman;Times;Serif"/>
          <w:b w:val="false"/>
          <w:i w:val="false"/>
          <w:caps w:val="false"/>
          <w:smallCaps w:val="false"/>
          <w:sz w:val="20"/>
        </w:rPr>
        <w:t>0.4 million of accrued interest. Upon payment in full, the Yorkville Debentures were satisfied and terminated, and all related security interests and liens were released.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Restricted Gold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completed the sale of its LBMA Good Delivery gold bullion previously classified as held for sale. The transaction was executed through the Company’s securities intermediary and resulted in cash proceeds of approximately $</w:t>
      </w:r>
      <w:bookmarkStart w:id="1347" w:name="xdx_904_eus-gaap--ProceedsFromSaleOfRest"/>
      <w:bookmarkEnd w:id="1347"/>
      <w:r>
        <w:rPr>
          <w:rFonts w:ascii="Times New Roman;Times;Serif" w:hAnsi="Times New Roman;Times;Serif"/>
          <w:b w:val="false"/>
          <w:i w:val="false"/>
          <w:caps w:val="false"/>
          <w:smallCaps w:val="false"/>
          <w:sz w:val="20"/>
        </w:rPr>
        <w:t>26.4 million. The Company recognized a gain of approximately $</w:t>
      </w:r>
      <w:bookmarkStart w:id="1348" w:name="xdx_908_eus-gaap--GainLossOnSaleOfInvest"/>
      <w:bookmarkEnd w:id="1348"/>
      <w:r>
        <w:rPr>
          <w:rFonts w:ascii="Times New Roman;Times;Serif" w:hAnsi="Times New Roman;Times;Serif"/>
          <w:b w:val="false"/>
          <w:i w:val="false"/>
          <w:caps w:val="false"/>
          <w:smallCaps w:val="false"/>
          <w:sz w:val="20"/>
        </w:rPr>
        <w:t>2.9 million on the sale of the gold in the first quarter of 2026. Proceeds were used, in part, to fund the repayment of the Yorkville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sold all of its marketable securities in Empress Royalty Corp. for gross proceeds of approximately $</w:t>
      </w:r>
      <w:bookmarkStart w:id="1349" w:name="xdx_901_eus-gaap--ProceedsFromSaleAndMat"/>
      <w:bookmarkEnd w:id="1349"/>
      <w:r>
        <w:rPr>
          <w:rFonts w:ascii="Times New Roman;Times;Serif" w:hAnsi="Times New Roman;Times;Serif"/>
          <w:b w:val="false"/>
          <w:i w:val="false"/>
          <w:caps w:val="false"/>
          <w:smallCaps w:val="false"/>
          <w:sz w:val="20"/>
        </w:rPr>
        <w:t>10.2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 Appointments and Equity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and March 2026, the Company appointed Anthony Marciano and Shawn Matthews as non-employee members of its Board of Directors. Each director is entitled to compensation in accordance with the Company’s non-employee director compensation program, which currently includes an annual cash retainer of $</w:t>
      </w:r>
      <w:bookmarkStart w:id="1350" w:name="xdx_90E_eus-gaap--ShareBasedCompensation"/>
      <w:bookmarkEnd w:id="1350"/>
      <w:r>
        <w:rPr>
          <w:rFonts w:ascii="Times New Roman;Times;Serif" w:hAnsi="Times New Roman;Times;Serif"/>
          <w:b w:val="false"/>
          <w:i w:val="false"/>
          <w:caps w:val="false"/>
          <w:smallCaps w:val="false"/>
          <w:sz w:val="20"/>
        </w:rPr>
        <w:t>40,000 and a committee retainer of $</w:t>
      </w:r>
      <w:bookmarkStart w:id="1351" w:name="xdx_908_eus-gaap--ShareBasedCompensation"/>
      <w:bookmarkEnd w:id="1351"/>
      <w:r>
        <w:rPr>
          <w:rFonts w:ascii="Times New Roman;Times;Serif" w:hAnsi="Times New Roman;Times;Serif"/>
          <w:b w:val="false"/>
          <w:i w:val="false"/>
          <w:caps w:val="false"/>
          <w:smallCaps w:val="false"/>
          <w:sz w:val="20"/>
        </w:rPr>
        <w:t>25,000 per year for each committee on which the director 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and March 2026, the Company granted and issued </w:t>
      </w:r>
      <w:bookmarkStart w:id="1352" w:name="xdx_904_eus-gaap--ShareBasedCompensation"/>
      <w:bookmarkStart w:id="1353" w:name="xdx_90E_eus-gaap--ShareBasedCompensation"/>
      <w:bookmarkStart w:id="1354" w:name="xdx_909_eus-gaap--ShareBasedCompensation"/>
      <w:bookmarkEnd w:id="1352"/>
      <w:bookmarkEnd w:id="1353"/>
      <w:bookmarkEnd w:id="1354"/>
      <w:r>
        <w:rPr>
          <w:rFonts w:ascii="Times New Roman;Times;Serif" w:hAnsi="Times New Roman;Times;Serif"/>
          <w:b w:val="false"/>
          <w:i w:val="false"/>
          <w:caps w:val="false"/>
          <w:smallCaps w:val="false"/>
          <w:sz w:val="20"/>
        </w:rPr>
        <w:t xml:space="preserve">100,000 shares of Common Stock each to Kevin Gopaul, Anthony Marciano and Shawn Matthews associated with their appointment to the Board of Directors for an aggregate of </w:t>
      </w:r>
      <w:bookmarkStart w:id="1355" w:name="xdx_90F_eus-gaap--ShareBasedCompensation"/>
      <w:bookmarkEnd w:id="1355"/>
      <w:r>
        <w:rPr>
          <w:rFonts w:ascii="Times New Roman;Times;Serif" w:hAnsi="Times New Roman;Times;Serif"/>
          <w:b w:val="false"/>
          <w:i w:val="false"/>
          <w:caps w:val="false"/>
          <w:smallCaps w:val="false"/>
          <w:sz w:val="20"/>
        </w:rPr>
        <w:t>300,000 shares of common stock with an aggregate grant-date fair value of approximately $</w:t>
      </w:r>
      <w:bookmarkStart w:id="1356" w:name="xdx_901_eus-gaap--StockIssuedDuringPerio"/>
      <w:bookmarkEnd w:id="1356"/>
      <w:r>
        <w:rPr>
          <w:rFonts w:ascii="Times New Roman;Times;Serif" w:hAnsi="Times New Roman;Times;Serif"/>
          <w:b w:val="false"/>
          <w:i w:val="false"/>
          <w:caps w:val="false"/>
          <w:smallCaps w:val="false"/>
          <w:sz w:val="20"/>
        </w:rPr>
        <w:t>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2026, the Company entered into a consulting agreement with an independent third party to provide advisory related services. The agreement has an initial term of six months and provides for a fixed consulting fee of $</w:t>
      </w:r>
      <w:bookmarkStart w:id="1357" w:name="xdx_908_eus-gaap--ProfessionalFees_pn5n6"/>
      <w:bookmarkEnd w:id="1357"/>
      <w:r>
        <w:rPr>
          <w:rFonts w:ascii="Times New Roman;Times;Serif" w:hAnsi="Times New Roman;Times;Serif"/>
          <w:b w:val="false"/>
          <w:i w:val="false"/>
          <w:caps w:val="false"/>
          <w:smallCaps w:val="false"/>
          <w:sz w:val="20"/>
        </w:rPr>
        <w:t>4.0 million, payable in installments, as well as potential transaction-based fees contingent upon the completion of certain activities during the term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Employee,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Consulting and Advisory Agreements and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16, 2026, the Company entered into multiple consulting and advisory agreements and other arrangements with employees and independent contractors to provide strategic, capital markets, investor relations, marketing, legal, and advisory services. These agreements generally provide for compensation in the form of equity-based awards granted under the Company’s equity incentive plans, including RSUs, RSAs and performance stock units (“PSUs”), as well as, in certain cases, direct issuances of common stock. Certain awards vested immediately upon grant, while others vest over time or upon the achievement of specified service, performance, or market-based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these consulting and advisory arrangements, the Company issued an aggregate of </w:t>
      </w:r>
      <w:bookmarkStart w:id="1358" w:name="xdx_909_eus-gaap--StockIssuedDuringPerio"/>
      <w:bookmarkEnd w:id="1358"/>
      <w:r>
        <w:rPr>
          <w:rFonts w:ascii="Times New Roman;Times;Serif" w:hAnsi="Times New Roman;Times;Serif"/>
          <w:b w:val="false"/>
          <w:i w:val="false"/>
          <w:caps w:val="false"/>
          <w:smallCaps w:val="false"/>
          <w:sz w:val="20"/>
        </w:rPr>
        <w:t>5,645,816 shares of common stock during the period from January 1, 2026 through March 16, 2026 with an aggregate grant-date fair value of approximately $</w:t>
      </w:r>
      <w:bookmarkStart w:id="1359" w:name="xdx_90C_eus-gaap--StockIssuedDuringPerio"/>
      <w:bookmarkEnd w:id="1359"/>
      <w:r>
        <w:rPr>
          <w:rFonts w:ascii="Times New Roman;Times;Serif" w:hAnsi="Times New Roman;Times;Serif"/>
          <w:b w:val="false"/>
          <w:i w:val="false"/>
          <w:caps w:val="false"/>
          <w:smallCaps w:val="false"/>
          <w:sz w:val="20"/>
        </w:rPr>
        <w:t>19.0 million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6"/>
        <w:gridCol w:w="9869"/>
      </w:tblGrid>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bookmarkStart w:id="1360" w:name="xdx_90B_eus-gaap--ShareBasedCompensation"/>
            <w:bookmarkEnd w:id="1360"/>
            <w:r>
              <w:rPr>
                <w:rFonts w:ascii="Times New Roman;Times;Serif" w:hAnsi="Times New Roman;Times;Serif"/>
                <w:sz w:val="20"/>
              </w:rPr>
              <w:t xml:space="preserve">250,000 RSU award with </w:t>
            </w:r>
            <w:bookmarkStart w:id="1361" w:name="xdx_909_eus-gaap--ShareBasedCompensation"/>
            <w:bookmarkEnd w:id="1361"/>
            <w:r>
              <w:rPr>
                <w:rFonts w:ascii="Times New Roman;Times;Serif" w:hAnsi="Times New Roman;Times;Serif"/>
                <w:sz w:val="20"/>
              </w:rPr>
              <w:t>25,000 shares vested and issued on January 1, 2026 and the remainder vesting in quarterly installments,</w:t>
            </w:r>
          </w:p>
        </w:tc>
      </w:tr>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bookmarkStart w:id="1362" w:name="xdx_90F_eus-gaap--ShareBasedCompensation"/>
            <w:bookmarkEnd w:id="1362"/>
            <w:r>
              <w:rPr>
                <w:rFonts w:ascii="Times New Roman;Times;Serif" w:hAnsi="Times New Roman;Times;Serif"/>
                <w:sz w:val="20"/>
              </w:rPr>
              <w:t>125,000 RSU award that vests in sixteen substantially equal quarterly installments over four years,</w:t>
            </w:r>
          </w:p>
        </w:tc>
      </w:tr>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bookmarkStart w:id="1363" w:name="xdx_90D_eus-gaap--ShareBasedCompensation"/>
            <w:bookmarkEnd w:id="1363"/>
            <w:r>
              <w:rPr>
                <w:rFonts w:ascii="Times New Roman;Times;Serif" w:hAnsi="Times New Roman;Times;Serif"/>
                <w:sz w:val="20"/>
              </w:rPr>
              <w:t xml:space="preserve">425,000 RSU award, which </w:t>
            </w:r>
            <w:bookmarkStart w:id="1364" w:name="xdx_902_eus-gaap--ShareBasedCompensation"/>
            <w:bookmarkEnd w:id="1364"/>
            <w:r>
              <w:rPr>
                <w:rFonts w:ascii="Times New Roman;Times;Serif" w:hAnsi="Times New Roman;Times;Serif"/>
                <w:sz w:val="20"/>
              </w:rPr>
              <w:t xml:space="preserve">212,500 were vested and issued immediately on February 1, 2026, </w:t>
            </w:r>
            <w:bookmarkStart w:id="1365" w:name="xdx_904_eus-gaap--ShareBasedCompensation"/>
            <w:bookmarkEnd w:id="1365"/>
            <w:r>
              <w:rPr>
                <w:rFonts w:ascii="Times New Roman;Times;Serif" w:hAnsi="Times New Roman;Times;Serif"/>
                <w:sz w:val="20"/>
              </w:rPr>
              <w:t xml:space="preserve">125,000 vesting on June 3, 2026 and </w:t>
            </w:r>
            <w:bookmarkStart w:id="1366" w:name="xdx_90E_eus-gaap--ShareBasedCompensation"/>
            <w:bookmarkEnd w:id="1366"/>
            <w:r>
              <w:rPr>
                <w:rFonts w:ascii="Times New Roman;Times;Serif" w:hAnsi="Times New Roman;Times;Serif"/>
                <w:sz w:val="20"/>
              </w:rPr>
              <w:t xml:space="preserve">87,500 vest on September 3, 2026 and a </w:t>
            </w:r>
            <w:bookmarkStart w:id="1367" w:name="xdx_900_eus-gaap--ShareBasedCompensation"/>
            <w:bookmarkEnd w:id="1367"/>
            <w:r>
              <w:rPr>
                <w:rFonts w:ascii="Times New Roman;Times;Serif" w:hAnsi="Times New Roman;Times;Serif"/>
                <w:sz w:val="20"/>
              </w:rPr>
              <w:t>400,000 PSU award that vests based on achievement of specified stock-price targets,</w:t>
            </w:r>
          </w:p>
        </w:tc>
      </w:tr>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bookmarkStart w:id="1368" w:name="xdx_902_eus-gaap--ShareBasedCompensation"/>
            <w:bookmarkEnd w:id="1368"/>
            <w:r>
              <w:rPr>
                <w:rFonts w:ascii="Times New Roman;Times;Serif" w:hAnsi="Times New Roman;Times;Serif"/>
                <w:sz w:val="20"/>
              </w:rPr>
              <w:t xml:space="preserve">65,000 RSUs award, with </w:t>
            </w:r>
            <w:bookmarkStart w:id="1369" w:name="xdx_90D_eus-gaap--ShareBasedCompensation"/>
            <w:bookmarkEnd w:id="1369"/>
            <w:r>
              <w:rPr>
                <w:rFonts w:ascii="Times New Roman;Times;Serif" w:hAnsi="Times New Roman;Times;Serif"/>
                <w:sz w:val="20"/>
              </w:rPr>
              <w:t xml:space="preserve">5,000 vested and issued on March 16, 2026 and the remainder vesting monthly thereafter, </w:t>
            </w:r>
          </w:p>
        </w:tc>
      </w:tr>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pPr>
            <w:r>
              <w:rPr/>
              <w:t>(v)</w:t>
            </w:r>
          </w:p>
        </w:tc>
        <w:tc>
          <w:tcPr>
            <w:tcW w:w="9869" w:type="dxa"/>
            <w:tcBorders/>
            <w:vAlign w:val="center"/>
          </w:tcPr>
          <w:p>
            <w:pPr>
              <w:pStyle w:val="TableContents"/>
              <w:bidi w:val="0"/>
              <w:spacing w:before="0" w:after="283"/>
              <w:jc w:val="both"/>
              <w:rPr/>
            </w:pPr>
            <w:r>
              <w:rPr/>
              <w:t xml:space="preserve">a consulting arrangement providing for </w:t>
            </w:r>
            <w:bookmarkStart w:id="1370" w:name="xdx_908_eus-gaap--ShareBasedCompensation"/>
            <w:bookmarkEnd w:id="1370"/>
            <w:r>
              <w:rPr/>
              <w:t xml:space="preserve">500,000 time-based RSUs (including </w:t>
            </w:r>
            <w:bookmarkStart w:id="1371" w:name="xdx_905_eus-gaap--ShareBasedCompensation"/>
            <w:bookmarkEnd w:id="1371"/>
            <w:r>
              <w:rPr/>
              <w:t xml:space="preserve">300,000 vested and issued on February 1, 2026 and the remaining </w:t>
            </w:r>
            <w:bookmarkStart w:id="1372" w:name="xdx_90F_eus-gaap--ShareBasedCompensation"/>
            <w:bookmarkEnd w:id="1372"/>
            <w:r>
              <w:rPr/>
              <w:t xml:space="preserve">200,000 vesting in four equal quarterly installments over twelve months) and </w:t>
            </w:r>
            <w:bookmarkStart w:id="1373" w:name="xdx_908_eus-gaap--ShareBasedCompensation"/>
            <w:bookmarkEnd w:id="1373"/>
            <w:r>
              <w:rPr/>
              <w:t>500,000 PSUs that vest in tranches upon achievement of specified stock-price targets of the Company common stock, and</w:t>
            </w:r>
          </w:p>
        </w:tc>
      </w:tr>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consulting arrangement providing for up to </w:t>
            </w:r>
            <w:bookmarkStart w:id="1374" w:name="xdx_908_eus-gaap--ShareBasedCompensation"/>
            <w:bookmarkEnd w:id="1374"/>
            <w:r>
              <w:rPr>
                <w:rFonts w:ascii="Times New Roman;Times;Serif" w:hAnsi="Times New Roman;Times;Serif"/>
                <w:sz w:val="20"/>
              </w:rPr>
              <w:t>1,000,000 RSUs that vest only upon achievement of specified milestone and value-based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Former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Ferdinand Groenewald resigned as the Company’s Chief Financial Officer. In connection with the resignation, the Company entered into separation and transition arrangements with the former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separation agreement, the former officer is entitled to cash severance of $</w:t>
      </w:r>
      <w:bookmarkStart w:id="1375" w:name="xdx_90B_eus-gaap--EmployeeBenefitsAndSha"/>
      <w:bookmarkEnd w:id="1375"/>
      <w:r>
        <w:rPr>
          <w:rFonts w:ascii="Times New Roman;Times;Serif" w:hAnsi="Times New Roman;Times;Serif"/>
          <w:b w:val="false"/>
          <w:i w:val="false"/>
          <w:caps w:val="false"/>
          <w:smallCaps w:val="false"/>
          <w:sz w:val="20"/>
        </w:rPr>
        <w:t xml:space="preserve">112,500, pro rata incentive compensation, and reimbursement of COBRA continuation coverage, subject to the terms of the agreement. Prior to his resignation on January 8, 2026, the former Chief Financial Officer had been granted </w:t>
      </w:r>
      <w:bookmarkStart w:id="1376" w:name="xdx_906_eus-gaap--ShareBasedCompensation"/>
      <w:bookmarkEnd w:id="1376"/>
      <w:r>
        <w:rPr>
          <w:rFonts w:ascii="Times New Roman;Times;Serif" w:hAnsi="Times New Roman;Times;Serif"/>
          <w:b w:val="false"/>
          <w:i w:val="false"/>
          <w:caps w:val="false"/>
          <w:smallCaps w:val="false"/>
          <w:sz w:val="20"/>
        </w:rPr>
        <w:t xml:space="preserve">500,000 RSUs, which </w:t>
      </w:r>
      <w:bookmarkStart w:id="1377" w:name="xdx_90F_eus-gaap--SharebasedCompensation"/>
      <w:bookmarkEnd w:id="1377"/>
      <w:r>
        <w:rPr>
          <w:rFonts w:ascii="Times New Roman;Times;Serif" w:hAnsi="Times New Roman;Times;Serif"/>
          <w:b w:val="false"/>
          <w:i w:val="false"/>
          <w:caps w:val="false"/>
          <w:smallCaps w:val="false"/>
          <w:sz w:val="20"/>
        </w:rPr>
        <w:t xml:space="preserve">100,000 were to vest on May 15, 2026, and the remaining </w:t>
      </w:r>
      <w:bookmarkStart w:id="1378" w:name="xdx_904_eus-gaap--SharebasedCompensation"/>
      <w:bookmarkEnd w:id="1378"/>
      <w:r>
        <w:rPr>
          <w:rFonts w:ascii="Times New Roman;Times;Serif" w:hAnsi="Times New Roman;Times;Serif"/>
          <w:b w:val="false"/>
          <w:i w:val="false"/>
          <w:caps w:val="false"/>
          <w:smallCaps w:val="false"/>
          <w:sz w:val="20"/>
        </w:rPr>
        <w:t>400,000 were to vest in equal installments quarterly over four years with a grant-date fair value of approximately $</w:t>
      </w:r>
      <w:bookmarkStart w:id="1379" w:name="xdx_907_eus-gaap--SharebasedCompensation"/>
      <w:bookmarkEnd w:id="1379"/>
      <w:r>
        <w:rPr>
          <w:rFonts w:ascii="Times New Roman;Times;Serif" w:hAnsi="Times New Roman;Times;Serif"/>
          <w:b w:val="false"/>
          <w:i w:val="false"/>
          <w:caps w:val="false"/>
          <w:smallCaps w:val="false"/>
          <w:sz w:val="20"/>
        </w:rPr>
        <w:t xml:space="preserve">1.6 million. Of the RSUs granted, </w:t>
      </w:r>
      <w:bookmarkStart w:id="1380" w:name="xdx_902_eus-gaap--ShareBasedCompensation"/>
      <w:bookmarkEnd w:id="1380"/>
      <w:r>
        <w:rPr>
          <w:rFonts w:ascii="Times New Roman;Times;Serif" w:hAnsi="Times New Roman;Times;Serif"/>
          <w:b w:val="false"/>
          <w:i w:val="false"/>
          <w:caps w:val="false"/>
          <w:smallCaps w:val="false"/>
          <w:sz w:val="20"/>
        </w:rPr>
        <w:t>301,500 RSUs became fully vested as of the separation date, with remaining unvested equity awards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a six-month consulting agreement with Groenewald Enterprises LLC, an affiliate of the former officer providing financial reporting, SEC compliance, and transition services for a fee of $</w:t>
      </w:r>
      <w:bookmarkStart w:id="1381" w:name="xdx_902_eus-gaap--ProfessionalFees_pn3n3"/>
      <w:bookmarkEnd w:id="1381"/>
      <w:r>
        <w:rPr>
          <w:rFonts w:ascii="Times New Roman;Times;Serif" w:hAnsi="Times New Roman;Times;Serif"/>
          <w:b w:val="false"/>
          <w:i w:val="false"/>
          <w:caps w:val="false"/>
          <w:smallCaps w:val="false"/>
          <w:sz w:val="20"/>
        </w:rPr>
        <w:t>20,000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New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the Company appointed Christine Plummer as Chief Financial Officer, principal financial officer, and principal accounting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the Company entered into an employment agreement with Ms. Plummer providing for an annual base salary of $</w:t>
      </w:r>
      <w:bookmarkStart w:id="1382" w:name="xdx_907_eus-gaap--SalariesAndWages_pn3n3"/>
      <w:bookmarkEnd w:id="1382"/>
      <w:r>
        <w:rPr>
          <w:rFonts w:ascii="Times New Roman;Times;Serif" w:hAnsi="Times New Roman;Times;Serif"/>
          <w:b w:val="false"/>
          <w:i w:val="false"/>
          <w:caps w:val="false"/>
          <w:smallCaps w:val="false"/>
          <w:sz w:val="20"/>
        </w:rPr>
        <w:t xml:space="preserve">350,000, eligibility for an annual discretionary bonus, and participation in the Company’s equity compensation programs. In addition, on May 16, 2026, Ms. Plummer was granted </w:t>
      </w:r>
      <w:bookmarkStart w:id="1383" w:name="xdx_902_eus-gaap--ShareBasedCompensation"/>
      <w:bookmarkEnd w:id="1383"/>
      <w:r>
        <w:rPr>
          <w:rFonts w:ascii="Times New Roman;Times;Serif" w:hAnsi="Times New Roman;Times;Serif"/>
          <w:b w:val="false"/>
          <w:i w:val="false"/>
          <w:caps w:val="false"/>
          <w:smallCaps w:val="false"/>
          <w:sz w:val="20"/>
        </w:rPr>
        <w:t>500,000 restricted stock units, which vest in sixteen equal quarterly installments with vesting commencing on April 1, 2026 with a grant-date fair value of approximately $</w:t>
      </w:r>
      <w:bookmarkStart w:id="1384" w:name="xdx_902_eus-gaap--SharebasedCompensation"/>
      <w:bookmarkEnd w:id="1384"/>
      <w:r>
        <w:rPr>
          <w:rFonts w:ascii="Times New Roman;Times;Serif" w:hAnsi="Times New Roman;Times;Serif"/>
          <w:b w:val="false"/>
          <w:i w:val="false"/>
          <w:caps w:val="false"/>
          <w:smallCaps w:val="false"/>
          <w:sz w:val="20"/>
        </w:rPr>
        <w:t>0.9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the Company’s Chief Executive Officer was granted </w:t>
      </w:r>
      <w:bookmarkStart w:id="1385" w:name="xdx_903_eus-gaap--ShareBasedCompensation"/>
      <w:bookmarkEnd w:id="1385"/>
      <w:r>
        <w:rPr>
          <w:rFonts w:ascii="Times New Roman;Times;Serif" w:hAnsi="Times New Roman;Times;Serif"/>
          <w:b w:val="false"/>
          <w:i w:val="false"/>
          <w:caps w:val="false"/>
          <w:smallCaps w:val="false"/>
          <w:sz w:val="20"/>
        </w:rPr>
        <w:t xml:space="preserve">1,000,000 RSUs, which </w:t>
      </w:r>
      <w:bookmarkStart w:id="1386" w:name="xdx_901_eus-gaap--SharebasedCompensation"/>
      <w:bookmarkEnd w:id="1386"/>
      <w:r>
        <w:rPr>
          <w:rFonts w:ascii="Times New Roman;Times;Serif" w:hAnsi="Times New Roman;Times;Serif"/>
          <w:b w:val="false"/>
          <w:i w:val="false"/>
          <w:caps w:val="false"/>
          <w:smallCaps w:val="false"/>
          <w:sz w:val="20"/>
        </w:rPr>
        <w:t xml:space="preserve">100,000 vest on Mary 15, 2026 and the remaining </w:t>
      </w:r>
      <w:bookmarkStart w:id="1387" w:name="xdx_903_eus-gaap--SharebasedCompensation"/>
      <w:bookmarkEnd w:id="1387"/>
      <w:r>
        <w:rPr>
          <w:rFonts w:ascii="Times New Roman;Times;Serif" w:hAnsi="Times New Roman;Times;Serif"/>
          <w:b w:val="false"/>
          <w:i w:val="false"/>
          <w:caps w:val="false"/>
          <w:smallCaps w:val="false"/>
          <w:sz w:val="20"/>
        </w:rPr>
        <w:t>900,000 vest in sixteen equal quarterly installments over four years with a grant-date fair value of approximately $</w:t>
      </w:r>
      <w:bookmarkStart w:id="1388" w:name="xdx_902_eus-gaap--SharebasedCompensation"/>
      <w:bookmarkEnd w:id="1388"/>
      <w:r>
        <w:rPr>
          <w:rFonts w:ascii="Times New Roman;Times;Serif" w:hAnsi="Times New Roman;Times;Serif"/>
          <w:b w:val="false"/>
          <w:i w:val="false"/>
          <w:caps w:val="false"/>
          <w:smallCaps w:val="false"/>
          <w:sz w:val="20"/>
        </w:rPr>
        <w:t>3.2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Executive Chairman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the Company’s Interim Executive Chairman of the Board was granted </w:t>
      </w:r>
      <w:bookmarkStart w:id="1389" w:name="xdx_902_eus-gaap--ShareBasedCompensation"/>
      <w:bookmarkEnd w:id="1389"/>
      <w:r>
        <w:rPr>
          <w:rFonts w:ascii="Times New Roman;Times;Serif" w:hAnsi="Times New Roman;Times;Serif"/>
          <w:b w:val="false"/>
          <w:i w:val="false"/>
          <w:caps w:val="false"/>
          <w:smallCaps w:val="false"/>
          <w:sz w:val="20"/>
        </w:rPr>
        <w:t>100,000 RSUs, which vest in four equal quarterly installments over one years with a grant-date fair value of approximately $</w:t>
      </w:r>
      <w:bookmarkStart w:id="1390" w:name="xdx_909_eus-gaap--SharebasedCompensation"/>
      <w:bookmarkEnd w:id="1390"/>
      <w:r>
        <w:rPr>
          <w:rFonts w:ascii="Times New Roman;Times;Serif" w:hAnsi="Times New Roman;Times;Serif"/>
          <w:b w:val="false"/>
          <w:i w:val="false"/>
          <w:caps w:val="false"/>
          <w:smallCaps w:val="false"/>
          <w:sz w:val="20"/>
        </w:rPr>
        <w:t>0.3 million.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Equity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January 7, 2026 and March 25, 2026, an aggregate of </w:t>
      </w:r>
      <w:bookmarkStart w:id="1391" w:name="xdx_908_eus-gaap--ConversionOfStockShare"/>
      <w:bookmarkEnd w:id="1391"/>
      <w:r>
        <w:rPr>
          <w:rFonts w:ascii="Times New Roman;Times;Serif" w:hAnsi="Times New Roman;Times;Serif"/>
          <w:b w:val="false"/>
          <w:i w:val="false"/>
          <w:caps w:val="false"/>
          <w:smallCaps w:val="false"/>
          <w:sz w:val="20"/>
        </w:rPr>
        <w:t>24,621,166 Exchangeable Shares were converted into the same number of common stock by holders of the Exchangeable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and February 2026, the Company issued an aggregate of </w:t>
      </w:r>
      <w:bookmarkStart w:id="1392" w:name="xdx_904_eus-gaap--StockIssuedDuringPerio"/>
      <w:bookmarkStart w:id="1393" w:name="xdx_909_eus-gaap--StockIssuedDuringPerio"/>
      <w:bookmarkEnd w:id="1392"/>
      <w:bookmarkEnd w:id="1393"/>
      <w:r>
        <w:rPr>
          <w:rFonts w:ascii="Times New Roman;Times;Serif" w:hAnsi="Times New Roman;Times;Serif"/>
          <w:b w:val="false"/>
          <w:i w:val="false"/>
          <w:caps w:val="false"/>
          <w:smallCaps w:val="false"/>
          <w:sz w:val="20"/>
        </w:rPr>
        <w:t xml:space="preserve">54,647 shares of common stock in exchange for </w:t>
      </w:r>
      <w:bookmarkStart w:id="1394" w:name="xdx_900_eus-gaap--ShareBasedCompensation"/>
      <w:bookmarkStart w:id="1395" w:name="xdx_90B_eus-gaap--ShareBasedCompensation"/>
      <w:bookmarkEnd w:id="1394"/>
      <w:bookmarkEnd w:id="1395"/>
      <w:r>
        <w:rPr>
          <w:rFonts w:ascii="Times New Roman;Times;Serif" w:hAnsi="Times New Roman;Times;Serif"/>
          <w:b w:val="false"/>
          <w:i w:val="false"/>
          <w:caps w:val="false"/>
          <w:smallCaps w:val="false"/>
          <w:sz w:val="20"/>
        </w:rPr>
        <w:t>87,984 warrants cashless exercised at a weighted average exercise price of $</w:t>
      </w:r>
      <w:bookmarkStart w:id="1396" w:name="xdx_903_eus-gaap--ClassOfWarrantOrRightE"/>
      <w:bookmarkStart w:id="1397" w:name="xdx_904_eus-gaap--ClassOfWarrantOrRightE"/>
      <w:bookmarkEnd w:id="1396"/>
      <w:bookmarkEnd w:id="1397"/>
      <w:r>
        <w:rPr>
          <w:rFonts w:ascii="Times New Roman;Times;Serif" w:hAnsi="Times New Roman;Times;Serif"/>
          <w:b w:val="false"/>
          <w:i w:val="false"/>
          <w:caps w:val="false"/>
          <w:smallCaps w:val="false"/>
          <w:sz w:val="20"/>
        </w:rPr>
        <w:t>0.9547.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14, 2026, the Company granted a nonqualified stock option to purchase </w:t>
      </w:r>
      <w:bookmarkStart w:id="1398" w:name="xdx_90A_eus-gaap--ShareBasedCompensation"/>
      <w:bookmarkEnd w:id="1398"/>
      <w:r>
        <w:rPr>
          <w:rFonts w:ascii="Times New Roman;Times;Serif" w:hAnsi="Times New Roman;Times;Serif"/>
          <w:b w:val="false"/>
          <w:i w:val="false"/>
          <w:caps w:val="false"/>
          <w:smallCaps w:val="false"/>
          <w:sz w:val="20"/>
        </w:rPr>
        <w:t>250,000 shares of the Company’s common stock at an exercise price of $</w:t>
      </w:r>
      <w:bookmarkStart w:id="1399" w:name="xdx_90D_eus-gaap--StockOptionExercisePri"/>
      <w:bookmarkEnd w:id="1399"/>
      <w:r>
        <w:rPr>
          <w:rFonts w:ascii="Times New Roman;Times;Serif" w:hAnsi="Times New Roman;Times;Serif"/>
          <w:b w:val="false"/>
          <w:i w:val="false"/>
          <w:caps w:val="false"/>
          <w:smallCaps w:val="false"/>
          <w:sz w:val="20"/>
        </w:rPr>
        <w:t xml:space="preserve">3.21 per share. The Option was fully vested and exercisable as of the grant date and has a contractual term of </w:t>
      </w:r>
      <w:bookmarkStart w:id="1400" w:name="xdx_90B_eus-gaap--SharebasedCompensation"/>
      <w:bookmarkEnd w:id="1400"/>
      <w:r>
        <w:rPr>
          <w:rFonts w:ascii="Times New Roman;Times;Serif" w:hAnsi="Times New Roman;Times;Serif"/>
          <w:b w:val="false"/>
          <w:i w:val="false"/>
          <w:caps w:val="false"/>
          <w:smallCaps w:val="false"/>
          <w:sz w:val="20"/>
        </w:rPr>
        <w:t>ten years, expiring on January 13, 2036 with a grant-date fair value of approximately $</w:t>
      </w:r>
      <w:bookmarkStart w:id="1401" w:name="xdx_90A_eus-gaap--ShareBasedCompensation"/>
      <w:bookmarkEnd w:id="1401"/>
      <w:r>
        <w:rPr>
          <w:rFonts w:ascii="Times New Roman;Times;Serif" w:hAnsi="Times New Roman;Times;Serif"/>
          <w:b w:val="false"/>
          <w:i w:val="false"/>
          <w:caps w:val="false"/>
          <w:smallCaps w:val="false"/>
          <w:sz w:val="20"/>
        </w:rPr>
        <w:t>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issued </w:t>
      </w:r>
      <w:bookmarkStart w:id="1402" w:name="xdx_908_eus-gaap--StockIssuedDuringPerio"/>
      <w:bookmarkEnd w:id="1402"/>
      <w:r>
        <w:rPr>
          <w:rFonts w:ascii="Times New Roman;Times;Serif" w:hAnsi="Times New Roman;Times;Serif"/>
          <w:b w:val="false"/>
          <w:i w:val="false"/>
          <w:caps w:val="false"/>
          <w:smallCaps w:val="false"/>
          <w:sz w:val="20"/>
        </w:rPr>
        <w:t>178,125 shares of common stock for vested restricted stock units.</w:t>
      </w:r>
    </w:p>
    <w:p>
      <w:pPr>
        <w:pStyle w:val="TextBody"/>
        <w:bidi w:val="0"/>
        <w:spacing w:before="0" w:after="0"/>
        <w:ind w:left="0" w:right="0" w:hanging="0"/>
        <w:jc w:val="both"/>
        <w:rPr>
          <w:caps w:val="false"/>
          <w:smallCaps w:val="false"/>
        </w:rPr>
      </w:pPr>
      <w:bookmarkStart w:id="1403" w:name="xdx_818_zDT1NjqBTr8j"/>
      <w:bookmarkEnd w:id="140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04" w:name="VK_001"/>
      <w:bookmarkEnd w:id="1404"/>
      <w:r>
        <w:rPr>
          <w:rFonts w:ascii="Times New Roman;Times;Serif" w:hAnsi="Times New Roman;Times;Serif"/>
          <w:b/>
          <w:i w:val="false"/>
          <w:caps w:val="false"/>
          <w:smallCaps w:val="false"/>
          <w:sz w:val="20"/>
        </w:rPr>
        <w:t xml:space="preserve">ITEM 9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2024, CBIZ CPAs P.C. acquired the attest business of Marcum LLP (“Marcum”). On April 30, 2025, Marcum informed the Company that Marcum resigned as the Company’s independent registered public accounting firm. Also on April 30, 2025, the Company, with the approval of the Audit Committee of the Company’s Board of Directors, engaged CBIZ CPAs P.C. as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of Marcum’s reports on the financial statements of the Company for either of the past two fiscal years ended, December 31, 2024 and December 31, 2023, respectively, contained an adverse opinion or a disclaimer of opinion, or was qualified or modified as to uncertainty, audit scope, or accounting principles, except for including an explanatory paragraph as to substantial doubt about the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December 31, 2023, respectively, and the subsequent interim period through April 30, 2025, there were no disagreements with Marcum on any matter of accounting principles or practices, financial statement disclosure, or auditing scope or procedure, which disagreement(s), if not resolved to the satisfaction of Marcum, would have caused it to make reference to the subject matter of the disagreement(s) in connection with its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December 31, 2023, respectively, and the subsequent interim period through April 30, 2025, the Company had the following “reportable events” (as such term is defined in Item 304(a)(1)(v) of Regulation S-K): As disclosed in Part II, Item 9A of the Company’s Form 10-Ks for the fiscal years ended December 31, 2024 and 2023, there were material weaknesses identified in internal control related to inadequate identification, recording and reporting of stock based compensation, ineffective review processes over period end financial disclosure and reporting, and inadequate segregation of duties for transaction posting and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ended December 31, 2024 and December 31, 2023, respectively, and the subsequent interim period through April 30, 2025, neither the Company nor anyone on its behalf has consulted with CBIZ CPAs P.C. with respect to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CBIZ CPAs P.C. concluded was an important factor considered by the Company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9A </w:t>
      </w:r>
      <w:r>
        <w:rPr>
          <w:rFonts w:ascii="Times New Roman;Times;Serif" w:hAnsi="Times New Roman;Times;Serif"/>
          <w:b w:val="false"/>
          <w:i w:val="false"/>
          <w:caps w:val="false"/>
          <w:smallCaps w:val="false"/>
          <w:sz w:val="20"/>
        </w:rPr>
        <w:t xml:space="preserve">– </w:t>
      </w:r>
      <w:bookmarkStart w:id="1405" w:name="VK_002"/>
      <w:bookmarkEnd w:id="1405"/>
      <w:r>
        <w:rPr>
          <w:rFonts w:ascii="Times New Roman;Times;Serif" w:hAnsi="Times New Roman;Times;Serif"/>
          <w:b/>
          <w:i w:val="false"/>
          <w:caps w:val="false"/>
          <w:smallCaps w:val="false"/>
          <w:sz w:val="20"/>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ensure that information required to be disclosed in the reports we file or submit under the Securities Exchange Act of 1934 is recorded, processed, summarized, and reported within the time periods specified in the SEC’s rules and forms, and that such information is accumulated and communicated to management, including our Chief Executive Officer and Chief Financial Officer, to allow timely decisions regarding required disclosure. Under the supervision and with the participation of our Chief Executive Officer and Chief Financial Officer, management carried out an evaluation of the effectiveness of our disclosure controls and procedures as of December 31, 2025 (the end of the period covered by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our Chief Executive Officer and Chief Financial Officer have concluded that, as of December 31, 2025, our disclosure controls and procedures were not effective due to the material weaknesses in our internal control over financial reporting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for our company. Internal control over financial reporting is defined in Rule 13a-15(f) and 15d-15(f) promulgated under the Exchange Act, as a process designed by, or under the supervision of, a company’s principal executive and principal financial officer and effected by the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in accordance with authorizations of management and directors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Management recognizes that any controls and procedures, no matter how well designed and operated, can provide only reasonable assurance of achieving their objectives and management necessarily applies its judgment in evaluating the cost-benefit relationship of possible enhancements to controls and procedures.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including our Chief Executive Officer and Chief Financial Officer, conducted an evaluation of the effectiveness of our internal control over financial reporting as of December 31, 2025, based on the criteria in a framework developed by the Company’s management pursuant to and in compliance with the criteria established in Internal Control – Integrated Framework (2013) issued by the Committee of Sponsoring Organizations (“COSO”) of the Treadway Commission. This evaluation included review of the documentation of controls, evaluation of the design effectiveness of controls, walkthroughs of the operating effectiveness of controls and a conclusion on this evaluation. Based on this evaluation, management has concluded that our internal control over financial reporting was not effective as of December 31, 2025, because management identified that i) inadequate identification, recording and reporting of stock based compensation, ii) ineffective review processes over period end financial disclosure and reporting, including review of IPE (Information Produced by the Entity), (iii) inadequate segregation of duties for transaction posting and processing, (iv) ineffective review controls over the business combinations and related financial instruments, amounted to a material weaknesses in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initiated plans to enhance staffing levels, strengthen supervisory review controls, and improve segregation of duties within the finance and accounting function. Management believes these actions, once fully implemented and operating effectively, will remediate the underlying control deficiencies. Remediation efforts will include ongoing evaluation and testing of new and enhanced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weaknesses discussed above or of others, we may experience negative impacts on our ability to accurately report our results of operation and financial condition in a timely manner. If we do identify a material weakness in our internal control over financial reporting and are unsuccessful in implementing or following a remediation plan, or fail to update our internal control over financial reporting as our business evolves or to integrate acquired businesses into our controls system, if additional material weaknesses are found in our internal controls in the future, or if our external auditors cannot attest to the effectiveness of our internal control over financial review, if applicable, we may not be able to timely or accurately report our financial condition, results of operations or cash flows or to maintain effective disclosure controls and procedures. If we are unable to report financial information in a timely and accurate manner or to maintain effective disclosure controls and procedures, we could be subject to, among other things, regulatory or enforcement actions by the SEC, an inability for us to be accepted for listing on any national securities exchange in the near future, securities litigation and a general loss of investor confidence, any one of which could adversely affect our business prospects and the market value of our common stock. Further, there are inherent limitations to the effectiveness of any system of controls and procedures, including the possibility of human error and the circumvention or overriding of the controls and procedures. We could face additional litigation exposure and a greater likelihood of an SEC enforcement or other regulatory action if further restatements were to occur or other accounting-related problems emerge.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weaknesses will not be considered remediated until the applicable controls operate for a sufficient period of time and management has concluded, through testing, that these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identified in connection with the evaluation referred to above that occurred during our last completed fiscal quarter that has materially negatively affected, or is reasonably likely to materially affect, our internal control over financial reporting. As discussed above, management has remediation plans that will be implemented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9B </w:t>
      </w:r>
      <w:r>
        <w:rPr>
          <w:rFonts w:ascii="Times New Roman;Times;Serif" w:hAnsi="Times New Roman;Times;Serif"/>
          <w:b w:val="false"/>
          <w:i w:val="false"/>
          <w:caps w:val="false"/>
          <w:smallCaps w:val="false"/>
          <w:sz w:val="20"/>
        </w:rPr>
        <w:t xml:space="preserve">– </w:t>
      </w:r>
      <w:bookmarkStart w:id="1406" w:name="VK_003"/>
      <w:bookmarkEnd w:id="1406"/>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our directors or officers (as defined in Rule 16a-1(f) of the Exchange Act) </w:t>
      </w:r>
      <w:bookmarkStart w:id="1407" w:name="xdx_906_eecd--NonRule10b51ArrAdoptedFlag"/>
      <w:bookmarkStart w:id="1408" w:name="xdx_906_eecd--Rule10b51ArrAdoptedFlag_db"/>
      <w:bookmarkEnd w:id="1407"/>
      <w:bookmarkEnd w:id="1408"/>
      <w:r>
        <w:rPr>
          <w:rFonts w:ascii="Times New Roman;Times;Serif" w:hAnsi="Times New Roman;Times;Serif"/>
          <w:b w:val="false"/>
          <w:i w:val="false"/>
          <w:caps w:val="false"/>
          <w:smallCaps w:val="false"/>
          <w:sz w:val="20"/>
        </w:rPr>
        <w:t xml:space="preserve">adopted or </w:t>
      </w:r>
      <w:bookmarkStart w:id="1409" w:name="xdx_904_eecd--NonRule10b51ArrTrmntdFlag_"/>
      <w:bookmarkStart w:id="1410" w:name="xdx_902_eecd--Rule10b51ArrTrmntdFlag_dbF"/>
      <w:bookmarkEnd w:id="1409"/>
      <w:bookmarkEnd w:id="1410"/>
      <w:r>
        <w:rPr>
          <w:rFonts w:ascii="Times New Roman;Times;Serif" w:hAnsi="Times New Roman;Times;Serif"/>
          <w:b w:val="false"/>
          <w:i w:val="false"/>
          <w:caps w:val="false"/>
          <w:smallCaps w:val="false"/>
          <w:sz w:val="20"/>
        </w:rPr>
        <w:t>terminated a Rule 10b5-1 trading plan or arrangement or a non-Rule 10b5-1 trading plan or arrangement, as defined in Item 408(c) of Regulation S-K, during the period covered by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9C </w:t>
      </w:r>
      <w:r>
        <w:rPr>
          <w:rFonts w:ascii="Times New Roman;Times;Serif" w:hAnsi="Times New Roman;Times;Serif"/>
          <w:b w:val="false"/>
          <w:i w:val="false"/>
          <w:caps w:val="false"/>
          <w:smallCaps w:val="false"/>
          <w:sz w:val="20"/>
        </w:rPr>
        <w:t xml:space="preserve">– </w:t>
      </w:r>
      <w:bookmarkStart w:id="1411" w:name="VK_004"/>
      <w:bookmarkEnd w:id="1411"/>
      <w:r>
        <w:rPr>
          <w:rFonts w:ascii="Times New Roman;Times;Serif" w:hAnsi="Times New Roman;Times;Serif"/>
          <w:b/>
          <w:i w:val="false"/>
          <w:caps w:val="false"/>
          <w:smallCaps w:val="false"/>
          <w:sz w:val="20"/>
        </w:rPr>
        <w:t>DISCLOSURES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12" w:name="VK_005"/>
      <w:bookmarkEnd w:id="1412"/>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10 </w:t>
      </w:r>
      <w:r>
        <w:rPr>
          <w:rFonts w:ascii="Times New Roman;Times;Serif" w:hAnsi="Times New Roman;Times;Serif"/>
          <w:b w:val="false"/>
          <w:i w:val="false"/>
          <w:caps w:val="false"/>
          <w:smallCaps w:val="false"/>
          <w:sz w:val="20"/>
        </w:rPr>
        <w:t xml:space="preserve">– </w:t>
      </w:r>
      <w:bookmarkStart w:id="1413" w:name="VK_006"/>
      <w:bookmarkEnd w:id="1413"/>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the members of our board of directors.</w:t>
      </w:r>
    </w:p>
    <w:p>
      <w:pPr>
        <w:pStyle w:val="TextBody"/>
        <w:bidi w:val="0"/>
        <w:spacing w:before="0" w:after="0"/>
        <w:ind w:left="0" w:right="0" w:hanging="0"/>
        <w:jc w:val="both"/>
        <w:rPr>
          <w:caps w:val="false"/>
          <w:smallCaps w:val="false"/>
        </w:rPr>
      </w:pPr>
      <w:r>
        <w:rPr>
          <w:caps w:val="false"/>
          <w:smallCaps w:val="false"/>
        </w:rPr>
        <w:t> </w:t>
      </w:r>
    </w:p>
    <w:tbl>
      <w:tblPr>
        <w:tblW w:w="5670" w:type="dxa"/>
        <w:jc w:val="left"/>
        <w:tblInd w:w="0" w:type="dxa"/>
        <w:tblLayout w:type="fixed"/>
        <w:tblCellMar>
          <w:top w:w="0" w:type="dxa"/>
          <w:left w:w="0" w:type="dxa"/>
          <w:bottom w:w="28" w:type="dxa"/>
          <w:right w:w="0" w:type="dxa"/>
        </w:tblCellMar>
      </w:tblPr>
      <w:tblGrid>
        <w:gridCol w:w="1820"/>
        <w:gridCol w:w="60"/>
        <w:gridCol w:w="350"/>
        <w:gridCol w:w="60"/>
        <w:gridCol w:w="3380"/>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the Company</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Lekstrom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Executive Chairman and Director</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Henry McPhie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Williams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Investment Officer</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M. Plummer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Browne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Gopaul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Matthews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Marciano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at each annual meeting of our stockholders and hold office until their successors are elected and qualified or until their earlier resignation or removal. Officers are appointed by our board of directors and serve at the discretion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Morgan Lekstrom. </w:t>
      </w:r>
      <w:r>
        <w:rPr>
          <w:rFonts w:ascii="Times New Roman;Times;Serif" w:hAnsi="Times New Roman;Times;Serif"/>
          <w:b w:val="false"/>
          <w:i w:val="false"/>
          <w:caps w:val="false"/>
          <w:smallCaps w:val="false"/>
          <w:sz w:val="20"/>
        </w:rPr>
        <w:t>Mr. Lekstrom has served as a Director since May 2025, and Interim Executive Chairman since February 2026, following his role as Co-Founder and Chairman of Streamex Exchange Corporation since September 2023. Mr. Lekstrom is a seasoned mining executive and corporate strategist with over 19 years of experience and 5 years building and transforming resource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March 2025 until January 2026, Mr. Lekstrom had served as Chief Executive Officer of NexMetals Mining Corp., a Canadian-based mineral exploration and development company where he led the redevelopment of critical metals projects in Botswana with backing from a US$150 million letter of interest from the Export-Import Bank of the United States. From 2022 to 2024, Mr. Lekstrom served as President and co-founder, and currently a Director, of NexGold Mining, where he orchestrated a transformation through strategic direction and deleveraging with back-to-back mergers of Blackwolf Copper and Gold, Treasury Metals, then Signal Gold, creating a near-term Canadian gold producer with a clear path to constructing two new mines in Canada. NexGold Mining today is well capitalized to build its permitted gold mine in Nova Scotia and recently raised $112.5M.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affiliation between the Company and Streamex as described herein, there is no affiliation between the Company and the organizations at which Mr. Lekstrom was previously employed. Mr. Lekstrom’s nearly 20-year career in the global commodities sector includes senior technical and leadership roles at Freeport McMoRan (Grasberg, Indonesia, 2010-2011), Rio Tinto (Oyu Tolgoi, Mongolia, 2012-2013), and Golden Star Resources (Ghana, 2015-2017), all independent entities unaffiliated with the Company. He also served as Engineering Manager at Sabina Gold &amp; Silver Corp. from 2017 to 2018, leading execution of the Back River Marine Laydown Project in Northern Canada. Mr. Lekstrom is a critical asset to our Board and executive team, bringing invaluable expertise in structuring complex transactions and navigating global commodity markets; he brings expertise in capital markets, strategic M&amp;A, and commodities to guide the company’s vision of tokenizing real-world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Henry McPhie</w:t>
      </w:r>
      <w:r>
        <w:rPr>
          <w:rFonts w:ascii="Times New Roman;Times;Serif" w:hAnsi="Times New Roman;Times;Serif"/>
          <w:b w:val="false"/>
          <w:i w:val="false"/>
          <w:caps w:val="false"/>
          <w:smallCaps w:val="false"/>
          <w:sz w:val="20"/>
        </w:rPr>
        <w:t>. Mr. McPhie has served as Chief Executive Officer of Streamex since May 30, 2025, bringing a depth of experience at the intersection of blockchain technology and financial innovation. From 2021 to 2023, Mr. McPhie served as Founder and Chief Executive Officer of Lynx Web3 Solutions, a blockchain incubation and software development firm providing infrastructure and strategic guidance for early-stage decentralized projects. Lynx Web3 Solutions is an independent company. Prior to that, in 2020, he founded FatCats Capital, a Solana-based NFT platform that grew to become the third-largest NFT project globally at the time of its launch. Except for the affiliation between the Company and Streamex as described herein, there is no affiliation between the Company and the organizations at which Mr. McPhie was previously employed. Mr. McPhie holds a degree in Mining Engineering from McGill University and began his career applying engineering principles to complex technological solutions. His entrepreneurial background and engineering foundation uniquely position him to lead the Company’s strategic expansion into decentralized technologies. His deep technical acumen, combined with demonstrated success in product innovation and community engagement, were key factors in the determination that he should serve as a director. Mr. McPhie’s experience aligns with the Company’s strategic focus on leveraging advanced technology to transform healthcare and other sectors.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Mitchell Williams, CFA. </w:t>
      </w:r>
      <w:r>
        <w:rPr>
          <w:rFonts w:ascii="Times New Roman;Times;Serif" w:hAnsi="Times New Roman;Times;Serif"/>
          <w:b w:val="false"/>
          <w:i w:val="false"/>
          <w:caps w:val="false"/>
          <w:smallCaps w:val="false"/>
          <w:sz w:val="20"/>
        </w:rPr>
        <w:t>Mr. Williams has served as our Chief Investment Officer since May 2025. Mr. Williams brings over 20 years of experience at the forefront of Wall Street, where he has consistently driven performance through strategic insight, innovation, and disciplined investment management. Mr. Williams began his investment career during the Web 1.0 era at Credit Suisse from 1999 to 2000, where he was part of the Internet Financial Services team. He went on to hold senior roles at OppenheimerFunds from 2002 to 2013 and Wafra Inc. from 2015 to 2025, managing multi-billion dollar global and domestic equity portfolios and leading high-performing investment teams. At Wafra, Mr. Williams grew public markets assets significantly, delivering asymmetric positive returns. Under his leadership, Wafra’s Global Equity strategy achieved strong performance across every rolling five-year period. At OppenheimerFunds, he was a highly-regarded equity analyst and sole portfolio manager for one of the firm’s flagship funds. Before becoming CIO of Streamex Corp, Mr. Williams served as Strategic Advisor on Capital Markets for Streamex Exchange Corporation to help craft the company’s investment strategy. In his current role, he leverages deep capital markets expertise to lead investment strategy and guide Streamex’s mission to tokenize real-world assets within the commodities space. Mr. Williams is also an active mentor and speaker, having volunteered with the Michael Price Student Investment Fund at NYU Stern School of Business. He holds a BA from the University of Florida and was a recipient of the Stern Fellowship at the NYU Stern School of Business where he earned his MBA. Mr. Williams brings exceptional leadership and strategic insight, making him a critical asset to the Company and its continued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Christine M. Plummer. </w:t>
      </w:r>
      <w:r>
        <w:rPr>
          <w:rFonts w:ascii="Times New Roman;Times;Serif" w:hAnsi="Times New Roman;Times;Serif"/>
          <w:b w:val="false"/>
          <w:i w:val="false"/>
          <w:caps w:val="false"/>
          <w:smallCaps w:val="false"/>
          <w:sz w:val="20"/>
        </w:rPr>
        <w:t>Ms. Plummer has served as our Chief Financial Officer since March 16, 2026. Ms. Plummer is a senior finance executive with more than 30 years of experience leading global controllership, regulatory reporting, and finance transformation across the financial services and fintech sectors. From May 2025 until March 2026, Ms. Plummer served as Global Controller at Coinbase, Inc., where she led a global controllership organization of more than 50 professionals responsible for financial close, regulatory reporting, and operational readiness for new products. Prior to joining Coinbase, from 2022 until 2025, Ms. Plummer was Global Deputy Controller and Managing Director at MSCI Inc., where she led the Global Commercial Revenue Controllership team of more than 70 professionals across multiple international locations. She also served as Head of Finance Transformation, leading initiatives to automate revenue contract processing, streamline operational processes, and the operational integration of acquisitions. From 1997 to 2002, Ms. Plummer worked for Morgan Stanley where she held a series of senior leadership roles including Chief Financial Officer for Americas Legal Entities, Global Head of Funding Controllers, and Global Product Controller for the Equity Division. In these roles, she led large global teams, implemented complex regulatory frameworks including SEC and CFTC Swap Dealer Rules, supported critical capital and liquidity management initiatives, and built large, multi-location finance organizations supporting the firm’s global operations. Christine began her career as an auditor at Ernst &amp; Young. Ms. Plummer’s extensive experience in finance, operations, accounting, and management makes her a highly valuable addition to our executive team as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Donald F. Browne</w:t>
      </w:r>
      <w:r>
        <w:rPr>
          <w:rFonts w:ascii="Times New Roman;Times;Serif" w:hAnsi="Times New Roman;Times;Serif"/>
          <w:b w:val="false"/>
          <w:i w:val="false"/>
          <w:caps w:val="false"/>
          <w:smallCaps w:val="false"/>
          <w:sz w:val="20"/>
        </w:rPr>
        <w:t>. Mr. Browne, C.P.A. has served as our director since May 3, 2024. Mr. Browne is a graduate of La Salle College, 1972, with a B.S. in Accounting and later became licensed as a Certified Public Accountant from the State of New Jersey in 1980. Mr. Browne’s career has included being employed as a Divisional Controller of Caddy Corporation of America and a Controller for Full Line Foods, Inc. In 1990, Mr. Browne’s career then transitioned to public accounting, a field in which he launched his own firm (which he continues to run and operate). Mr. Browne specializes in business accounting, including financial and tax reporting for businesses of several different industries and professions; concentrations in Federal and State tax audits. Mr. Browne’s tax and financial expertise makes him a valuable asset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Kevin Gopaul</w:t>
      </w:r>
      <w:r>
        <w:rPr>
          <w:rFonts w:ascii="Times New Roman;Times;Serif" w:hAnsi="Times New Roman;Times;Serif"/>
          <w:b w:val="false"/>
          <w:i w:val="false"/>
          <w:caps w:val="false"/>
          <w:smallCaps w:val="false"/>
          <w:sz w:val="20"/>
        </w:rPr>
        <w:t>. Mr. Gopaul has served as our director since November 2025 and brings more than 25 years of global asset management and capital markets experience. Mr. Gopaul currently serves as a strategic advisor to a TSX Venture-listed company called Prospect Prediction Markets since 2026. Most recently, Mr. Gopaul served as Chief Investment Officer and President of REX Financial Canada from September 2024 to January 2026 where he led institutional product strategy and cross-border expansion. Mr. Gopaul also worked for BMO Global Asset Management, where he held several senior leadership positions including Global Head of ETFs, Canadian CEO, Chief Investment Officer, and Global Head of Quantitative Investments, where he helped architect and scale the firm’s $100 billion ETF franchise. Earlier in his career, he held progressively senior roles at Barclays Global Investors, Sun Life Financial, and Scotia Capital, contributing to advancements in research, trading, portfolio management, and product development. Mr. Gopaul’s strong financial background adds meaningful insight and value to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Shawn Matthews.</w:t>
      </w:r>
      <w:r>
        <w:rPr>
          <w:rFonts w:ascii="Times New Roman;Times;Serif" w:hAnsi="Times New Roman;Times;Serif"/>
          <w:b w:val="false"/>
          <w:i w:val="false"/>
          <w:caps w:val="false"/>
          <w:smallCaps w:val="false"/>
          <w:sz w:val="20"/>
        </w:rPr>
        <w:t xml:space="preserve"> Mr. Matthews has served as our director since March 2026. Mr. Matthews is currently the Founder and Chief Investment Officer of Hondius Capital Management, a global alternative asset manager. In this role, he has oversight of and responsibility for all firm investments. Mr. Matthews has been actively investing in global markets for over 30 years, with the majority of his career focused on trading across asset classes. Prior to founding Hondius Capital Management, Mr. Matthews served as Chief Executive Officer of Cantor Fitzgerald &amp; Co. (“Cantor Fitzgerald”) from 2009 through April 2018. Before becoming Chief Executive Officer at Cantor Fitzgerald, he held a number of senior investment leadership roles there, including Head of Capital Markets and Head of Mortgage Trading. Earlier in his career, Mr. Matthews worked as a fixed income derivatives trader, traded privatization certificates in Eastern Europe, and later founded both an equity-focused hedge fund, Alchemist Capital Management, and a fixed income broker-dealer, West Side Capital. Mr. Matthews holds a Bachelor of Science in Finance from Fairfield University and an MBA from Hofstra University. Mr. Matthews’ deep financial background brings tremendous value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Anthony Marciano.</w:t>
      </w:r>
      <w:r>
        <w:rPr>
          <w:rFonts w:ascii="Times New Roman;Times;Serif" w:hAnsi="Times New Roman;Times;Serif"/>
          <w:b w:val="false"/>
          <w:i w:val="false"/>
          <w:caps w:val="false"/>
          <w:smallCaps w:val="false"/>
          <w:sz w:val="20"/>
        </w:rPr>
        <w:t xml:space="preserve"> Mr. Marciano has served as our director since February 2026. Mr. Marciano brings more than 40 years of experience in finance and academics. Anthony Marciano is a Clinical Professor of Finance at the Leonard N. Stern School of Business at New York University, a position he has held since August 2007. Professor Marciano teaches corporate finance courses to MBA students, undergraduates, and executives, and has overseen the Michael Price Student Investment Fund. He has been named to BusinessWeek’s list of outstanding faculty. Prior to joining NYU Stern, he taught advanced corporate finance and M&amp;A courses at MIT Sloan School of Management and served as a Clinical Professor of Finance at the University of Chicago Graduate School of Business from 1994-2006. Earlier in his career, Marciano held senior positions at Goldman Sachs, Morgan Stanley, and Drexel Burnham Lambert. He earned his MBA from MIT Sloan School of Management and his BA in Computer Science from Dartmouth College. Mr. Marciano’s deep expertise in management and finance positions him as a highly valuable asset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amongst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Board or our executive officers has, in the last ten years, been involved in any legal proceeding of the type described under Item 103(c)(2) or Item 401(f)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requires our directors and officers, and persons who own more than ten percent of our common stock, to file with the SEC initial reports of ownership and reports of changes in ownership of our common stock. To our knowledge, based solely on a review of the copies of such reports furnished to us, during the fiscal year ended December 31, 2025, we believe that all filing requirements applicable to our officers, directors and greater than ten percent stockholders were complied with for the fiscal year ended December 31, 2025, except for the following: one late Form 3 filing and one late Form 4 filing by Frank Giustra in connection with his 10% beneficial ownership in the Company, as to his Exchangeable Shares and shares of common stock; one late Form 3 filing by Kevin R. Gopaul in connection with his appointment as director of the Company; one late Form 4 filing for each of Donald Browne, Steven E. Abelman, Christopher A. Baer, Donald Browne, Frederick Hrkac, and Anthony N. Amato for their grants of stock under the Company’s 2023 Long-Term Incentive Plan (“2023 Plan”); and two late Form 4 filings for Ferdinand Groenewald for grants of stock to him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nominating and corporate governance committee, and a compensation committee, each of which has the composition and responsibilities described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was established in accordance with section 3(a)(58)(A) of the Exchange Act and is currently comprised of Messrs. Browne, Marciano, Gopaul and Lekstrom, each of whom our board has determined to be financially literate. Messrs. Browne, Marciano and Gopaul each qualify as an independent director under Section 5605(a)(2) and Section 5605(c)(2) of the rules of the Nasdaq Stock Market. Mr. Browne is the chairman of our audit committee. In addition, Mr. Browne qualifies as an audit committee financial expert, as defined in Item 407(d)(5)(ii)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currently comprised of Messrs. Browne, Gopaul, and Lekstrom. Messrs. Browne and Gopaul each qualify as an independent director under Section 5605(a)(2) of the rules of the Nasdaq Stock Market. Mr. Browne is the chairman of our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currently comprised of Messrs. Browne, Gopaul, Matthews and Lekstrom. Messrs. Browne, Gopaul and Matthews each qualify as an independent director under Section 5605(a)(2) of the rules of the Nasdaq Stock Market, an “outside director” for purposes of Section 162(m) of the Internal Revenue Code and a “non-employee director” for purposes of Section 16b-3 under the Securities Exchange Act of 1934, as amended, and does not have a relationship to us which is material to his ability to be independent from management in connection with the duties of a compensation committee member, as described in Section 5605(d)(2) of the rules of the Nasdaq Stock Market. Mr. Browne is the chairman of our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that applies to our officers, directors and employees, including our principal executive officer, principal financial officer and principal accounting officer. The full text of our Code of Business Conduct and Ethics is published on the Investors section of our website at ir.streamex.com. We intend to disclose any future amendments to certain provisions of the Code of Business Conduct and Ethics, or waivers of such provisions granted to executive officers and directors, on this website within four business days following the date of any such amendment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requirements, we have adopted a policy providing for the recovery of erroneously awarded incentive-based compensation received by our executive officers during an applicable recovery period (the “Clawback Policy”). Under the Clawback Policy, in the event that financial results upon which a cash or equity-based incentive award was based becomes the subject of a financial restatement that is required because of material non-compliance with financial reporting requirements, the Compensation Committee will conduct a review of awards covered by the Clawback Policy and recoup any erroneously awarded incentive-based compensation to ensure that the ultimate award reflects the financial results as restated. The Clawback Policy covers any cash or equity-based incentive compensation award that was paid, earned or granted to covered executive officers during the last completed three fiscal years immediately preceding the date on which we are required to prepare the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1414" w:name="xdx_908_eecd--InsiderTrdPoliciesProcAdop"/>
      <w:bookmarkEnd w:id="1414"/>
      <w:r>
        <w:rPr>
          <w:rFonts w:ascii="Times New Roman;Times;Serif" w:hAnsi="Times New Roman;Times;Serif"/>
          <w:b w:val="false"/>
          <w:i w:val="false"/>
          <w:caps w:val="false"/>
          <w:smallCaps w:val="false"/>
          <w:sz w:val="20"/>
        </w:rPr>
        <w:t>adopted an insider trading policy, governing the purchase, sale and other transactions in our securities that applies to our directors, executive officers, employees, and other covered persons, including immediate family members and entities controlled by any of the foregoing persons, as well as by the Company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insider trading policy prohibits, among other things, insider trading and certain speculative transactions in our securities (including short sales, buying put and selling call options and other hedging or derivative transactions in our securities) and establishes a regular blackout period schedule during which directors, executive officers, employees, and other covered persons may not trade in our securities, as well as certain pre-clearance procedures that directors and executive officers must observe prior to effecting any transaction in our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insider trading policy is reasonably designed to promote compliance with insider trading laws, rules and regulations, and listing standards applicable to us. A copy of the insider trading policy is filed as Exhibit 19.1 to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11 </w:t>
      </w:r>
      <w:r>
        <w:rPr>
          <w:rFonts w:ascii="Times New Roman;Times;Serif" w:hAnsi="Times New Roman;Times;Serif"/>
          <w:b w:val="false"/>
          <w:i w:val="false"/>
          <w:caps w:val="false"/>
          <w:smallCaps w:val="false"/>
          <w:sz w:val="20"/>
        </w:rPr>
        <w:t xml:space="preserve">– </w:t>
      </w:r>
      <w:bookmarkStart w:id="1415" w:name="VK_007"/>
      <w:bookmarkEnd w:id="1415"/>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Philosophy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performance of our executive officers significantly impacts our ability to achieve our corporate goals. We, therefore, place considerable importance on the design and administration of our executive officer compensation program. This program is intended to enhance stockholder value by attracting, motivating and retaining qualified individuals to perform at the highest levels and to contribute to our growth and success. Our executive officer compensation program is designed to provide compensation opportunities that are tied to individual and corporate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packages are also designed to be competitive in our industry. The Compensation Committee from time-to-time consults with other advisors in designing our compensation program, including in evaluating the competitiveness of individual compensation packages and in relation to our corporate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compensation philosophy has been to pay our executive officers an annual base salary and to provide opportunities, through cash and equity incentives, to provide higher compensation if certain key performance goals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principles of our fiscal year 2025 compensation strategy included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 emphasis on pay for performance</w:t>
            </w:r>
            <w:r>
              <w:rPr>
                <w:rFonts w:ascii="Times New Roman;Times;Serif" w:hAnsi="Times New Roman;Times;Serif"/>
                <w:b w:val="false"/>
                <w:i w:val="false"/>
                <w:caps w:val="false"/>
                <w:smallCaps w:val="false"/>
                <w:sz w:val="20"/>
              </w:rPr>
              <w:t>. A significant portion of our executive officers’ total compensation is variable and at risk and tied directly to measurable performance, which aligns the interests of our executives with those of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results are linked to Company and individual performance</w:t>
            </w:r>
            <w:r>
              <w:rPr>
                <w:rFonts w:ascii="Times New Roman;Times;Serif" w:hAnsi="Times New Roman;Times;Serif"/>
                <w:b w:val="false"/>
                <w:i w:val="false"/>
                <w:caps w:val="false"/>
                <w:smallCaps w:val="false"/>
                <w:sz w:val="20"/>
              </w:rPr>
              <w:t>. When looking at performance over the year, we equally weigh individual performance as well as that of the Company as a whole. Target annual compensation is positioned to allow for above-median compensation to be earned through an executive officer’s and the Company’s extraordinary performance;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as a key component to align the interests of our executives with those of our stockholders</w:t>
            </w:r>
            <w:r>
              <w:rPr>
                <w:rFonts w:ascii="Times New Roman;Times;Serif" w:hAnsi="Times New Roman;Times;Serif"/>
                <w:b w:val="false"/>
                <w:i w:val="false"/>
                <w:caps w:val="false"/>
                <w:smallCaps w:val="false"/>
                <w:sz w:val="20"/>
              </w:rPr>
              <w:t>. Our Compensation Committee continues to believe that keeping executives interests aligned with those of our stockholders is critical to driving toward achievement of long-term goals of both our stockholders and the Company.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and positions of: (i) each person who served as our principal executive officer during the year ended December 31, 2025 and 2024; (ii) our most highly compensated executive officers, other than our principal executive officer, who was serving as an executive officer, as determined in accordance with the rules and regulations promulgated by the SEC, as of December 31, 2025, with compensation of $100,000 or more, and (iii) an additional individual for whom disclosure would have been provided pursuant to clause (ii) but for the fact that the individual was not serving as our executive officer at December 31, 2025 (collectively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24"/>
        <w:gridCol w:w="60"/>
        <w:gridCol w:w="60"/>
        <w:gridCol w:w="500"/>
        <w:gridCol w:w="60"/>
        <w:gridCol w:w="60"/>
        <w:gridCol w:w="60"/>
        <w:gridCol w:w="800"/>
        <w:gridCol w:w="60"/>
        <w:gridCol w:w="60"/>
        <w:gridCol w:w="210"/>
        <w:gridCol w:w="335"/>
        <w:gridCol w:w="60"/>
        <w:gridCol w:w="60"/>
        <w:gridCol w:w="61"/>
        <w:gridCol w:w="1003"/>
        <w:gridCol w:w="346"/>
        <w:gridCol w:w="60"/>
        <w:gridCol w:w="60"/>
        <w:gridCol w:w="800"/>
        <w:gridCol w:w="226"/>
        <w:gridCol w:w="60"/>
        <w:gridCol w:w="86"/>
        <w:gridCol w:w="1149"/>
        <w:gridCol w:w="368"/>
        <w:gridCol w:w="60"/>
        <w:gridCol w:w="60"/>
        <w:gridCol w:w="980"/>
        <w:gridCol w:w="77"/>
      </w:tblGrid>
      <w:tr>
        <w:trPr/>
        <w:tc>
          <w:tcPr>
            <w:tcW w:w="2424"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Salary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 (1)</w:t>
            </w:r>
          </w:p>
        </w:tc>
        <w:tc>
          <w:tcPr>
            <w:tcW w:w="3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Karl Henry McPhie, Chief Executive Officer and Director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101,366</w:t>
            </w:r>
          </w:p>
        </w:tc>
        <w:tc>
          <w:tcPr>
            <w:tcW w:w="368"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101,366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Anthony Amato, former Chief Executive Officer, former Chairman and former Director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5,135,682</w:t>
            </w:r>
          </w:p>
        </w:tc>
        <w:tc>
          <w:tcPr>
            <w:tcW w:w="346"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435,326</w:t>
            </w:r>
          </w:p>
        </w:tc>
        <w:tc>
          <w:tcPr>
            <w:tcW w:w="368" w:type="dxa"/>
            <w:tcBorders/>
            <w:shd w:fill="CCEEFF" w:val="clear"/>
            <w:tcMar>
              <w:bottom w:w="0" w:type="dxa"/>
            </w:tcMar>
            <w:vAlign w:val="center"/>
          </w:tcPr>
          <w:p>
            <w:pPr>
              <w:pStyle w:val="TableContents"/>
              <w:bidi w:val="0"/>
              <w:spacing w:before="0" w:after="283"/>
              <w:jc w:val="left"/>
              <w:rPr/>
            </w:pPr>
            <w:r>
              <w:rPr/>
              <w:t>(6)(7)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5,739,758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145,833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1,140,046</w:t>
            </w:r>
          </w:p>
        </w:tc>
        <w:tc>
          <w:tcPr>
            <w:tcW w:w="346"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965,592</w:t>
            </w:r>
          </w:p>
        </w:tc>
        <w:tc>
          <w:tcPr>
            <w:tcW w:w="226"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40,000</w:t>
            </w:r>
          </w:p>
        </w:tc>
        <w:tc>
          <w:tcPr>
            <w:tcW w:w="368"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2,291,471</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Ferdinand Groenewald, Former Chief Financial Officer and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1,196,550</w:t>
            </w:r>
          </w:p>
        </w:tc>
        <w:tc>
          <w:tcPr>
            <w:tcW w:w="346"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180,000</w:t>
            </w:r>
          </w:p>
        </w:tc>
        <w:tc>
          <w:tcPr>
            <w:tcW w:w="368" w:type="dxa"/>
            <w:tcBorders/>
            <w:shd w:fill="CCEEFF" w:val="clear"/>
            <w:tcMar>
              <w:bottom w:w="0" w:type="dxa"/>
            </w:tcMar>
            <w:vAlign w:val="center"/>
          </w:tcPr>
          <w:p>
            <w:pPr>
              <w:pStyle w:val="TableContents"/>
              <w:bidi w:val="0"/>
              <w:spacing w:before="0" w:after="283"/>
              <w:jc w:val="lef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1,432,800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106,500</w:t>
            </w:r>
          </w:p>
        </w:tc>
        <w:tc>
          <w:tcPr>
            <w:tcW w:w="368" w:type="dxa"/>
            <w:tcBorders/>
            <w:shd w:fill="CCEEFF" w:val="clear"/>
            <w:tcMar>
              <w:bottom w:w="0" w:type="dxa"/>
            </w:tcMar>
            <w:vAlign w:val="center"/>
          </w:tcPr>
          <w:p>
            <w:pPr>
              <w:pStyle w:val="TableContents"/>
              <w:bidi w:val="0"/>
              <w:spacing w:before="0" w:after="283"/>
              <w:jc w:val="lef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106,500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Mitchell Williams, Chief Investment Officer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294,444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5,050,000</w:t>
            </w:r>
          </w:p>
        </w:tc>
        <w:tc>
          <w:tcPr>
            <w:tcW w:w="346" w:type="dxa"/>
            <w:tcBorders/>
            <w:shd w:fill="CCEEFF" w:val="clear"/>
            <w:tcMar>
              <w:bottom w:w="0" w:type="dxa"/>
            </w:tcMar>
            <w:vAlign w:val="center"/>
          </w:tcPr>
          <w:p>
            <w:pPr>
              <w:pStyle w:val="TableContents"/>
              <w:bidi w:val="0"/>
              <w:spacing w:before="0" w:after="283"/>
              <w:jc w:val="left"/>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5,344,444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Steven Chaussy, Former Chief Financial Officer (13)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110,928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46,125</w:t>
            </w:r>
          </w:p>
        </w:tc>
        <w:tc>
          <w:tcPr>
            <w:tcW w:w="346" w:type="dxa"/>
            <w:tcBorders/>
            <w:shd w:fill="CCEEFF" w:val="clear"/>
            <w:tcMar>
              <w:bottom w:w="0" w:type="dxa"/>
            </w:tcMar>
            <w:vAlign w:val="center"/>
          </w:tcPr>
          <w:p>
            <w:pPr>
              <w:pStyle w:val="TableContents"/>
              <w:bidi w:val="0"/>
              <w:spacing w:before="0" w:after="283"/>
              <w:jc w:val="left"/>
              <w:rPr/>
            </w:pPr>
            <w:r>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157,053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Frederick D. Hrkac Former Principal Financial and Executive Officer (15)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458,100</w:t>
            </w:r>
          </w:p>
        </w:tc>
        <w:tc>
          <w:tcPr>
            <w:tcW w:w="346" w:type="dxa"/>
            <w:tcBorders/>
            <w:shd w:fill="CCEEFF" w:val="clear"/>
            <w:tcMar>
              <w:bottom w:w="0" w:type="dxa"/>
            </w:tcMar>
            <w:vAlign w:val="center"/>
          </w:tcPr>
          <w:p>
            <w:pPr>
              <w:pStyle w:val="TableContents"/>
              <w:bidi w:val="0"/>
              <w:spacing w:before="0" w:after="283"/>
              <w:jc w:val="left"/>
              <w:rPr/>
            </w:pPr>
            <w:r>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458,100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03"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Kenneth L. Londoner, Former Chief Executive Officer, Executive Chairman and Director (17)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59,926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36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59,926</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this column reflects the aggregate fair value of the stock awards or option awards, as applicable, granted during the respective fiscal year computed as of their respective grant dates in accordance with Financial Accounting Standard Board Accounting Standards Codification Topic 718 for share-based compensation transactions. The assumptions made in the valuation of the share-based payments are contained in Notes 7 and 8 to our financial statements for the fiscal year ended December 31, 2025 in this annual report.</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McPhie has served as our Chief Executive Officer and a Director since May 28, 2025. </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consulting fees paid in Canadian dollar of CAD 170,158 translated at the average conversion rate from May 28 through December 31, 2025.</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Amato served as our Chief Executive Officer from April 30, 2024 to May 28, 2025, as our Chairman from September 11, 2024 to May 28, 2025 and as a Director from April 30, 2024 through November 18, 2025. </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a common stock award of 212,500 fully vested and issued shares on March 11, 2025 of $95,179 related to his restricted stock unit award granted on September 11, 2024 (ii) a common stock award of 23,345 fully vested shares granted on April 24, 2025 of $19,610 (iii) 1,062,500 fully vested and issued shares on May 28, 2025 of $475,894 related to his restricted stock unit award granted on September 11, 2024 that were accelerate and deemed fully vested associated with his amendment to his Executive Employment Agreement in connection with the Company’s acquisition of Streamex Exchange and (iv) a common stock award of 900,000 fully vested shares granted on May 29, 2025 of $4,545,000.</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consulting fees and board fees.</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severance pay of $400,000.</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Groenewald had served as our Chief Financial Officer from November 2025 until March 16, 2026, and Interim Chief Financial Officer since June 5, 2024.</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a common stock award of 25,000 fully vested shares granted on January 13, 2025 of $35,000 (ii) a common stock award of 35,000 fully vested shares granted on April 24, 2025 of $29,400 (iii) a common stock award of 175,000 fully vested shares granted on May 29, 2025 of $883,750 and (iv) a common stock award of 60,000 fully vested shares granted on November 18, 2025 of $248,400.</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consulting fees.</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Williams has served as our Chief Investment Officer since May 2025.</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1,000,000 unvested restricted stock units, which vest over an 18-month period, with one-third vesting on April 24, 2026 and the remaining two-thirds vesting in five substantially equal quarterly installments thereafter, subject to continued service.</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Chaussy served as served as our Chief Financial Officer since January 1, 2018 until his retirement as Chief Financial Officer on February 6, 2024.</w:t>
            </w:r>
          </w:p>
        </w:tc>
      </w:tr>
      <w:tr>
        <w:trPr/>
        <w:tc>
          <w:tcPr>
            <w:tcW w:w="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a common stock award of 100,000 fully vested shares granted July 26, 2024 and (ii) 12,500 shares vested in 2023 but issued in 2024.</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Hrkac served as our Principal Executive Officer from February 27, 2024 until April 30, 2024 and our Principal Financial Officer from February 27, 2024 until June 5, 2024. Mr. Hrkac served as our Director since April 2022 until February 20, 2024.</w:t>
            </w:r>
          </w:p>
        </w:tc>
      </w:tr>
      <w:tr>
        <w:trPr/>
        <w:tc>
          <w:tcPr>
            <w:tcW w:w="3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a common stock award of 500,000 fully vested shares granted on March 1, 2024 $352,550, (ii) a common stock award of 50,000 fully vested shares granted on June 7, 2024 of $93,250, (iii) a common stock award of 30,000 fully vested shares granted on July 26, 2024 of $12,300,</w:t>
            </w:r>
          </w:p>
        </w:tc>
      </w:tr>
      <w:tr>
        <w:trPr/>
        <w:tc>
          <w:tcPr>
            <w:tcW w:w="32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Londoner served as our Executive Chairman and a director until February 27, 2024. Mr. Londoner served as our Chief Executive Officer from July 31, 2017 until February 27, 2024, when he resigned as a director, Executive Chairman and Chief Executive Officer of the Company and its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Karl Henry McPhie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Company entered into an employment agreement with the Mr. McPhie (the “McPhie Agreement”), effective November 1, 2025. Under the McPhie Agreement, Mr. McPhie will receive an annual base salary of $225,000 and will be eligible for an annual bonus targeted at 65% of base salary, with the actual amount determined by the Board based on performance. Mr. McPhie will also be granted 100,000 fully vested shares of common stock and 900,000 restricted stock units that vest in equal quarterly installments over four years, in each case subject to his continued service. The McPhie Agreement includes customary confidentiality, indemnification, and director and officer insurance protections and provides that, if the Company terminates Mr. McPhie without cause, if he resigns for good reason, or if his employment terminates in connection with a change in control, he will be entitled to severance benefits consisting of a lump-sum cash payment equal to two times his annual base salary and target bonus (or highest bonus paid in the prior two years, if greater), continued benefits, and accelerated vesting of outstanding equity awards, with performance awards treated as earned at maximum unless otherwise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Morgan Lekstrom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Company entered into the Chairman of the Board Agreement with the Chairman of the Board, Morgan Lekstrom (the “Chairman Agreement”). Under the Chairman Agreement, Mr. Lekstrom will receive an annual cash retainer of $40,000 for Board service and an additional $99,000 annual retainer for his role as Chairman and chair of the Compensation Committee, in each case payable in quarterly installments. Mr. Lekstrom will also be granted 100,000 shares of the Company’s common stock (or equivalent equity awards), which will vest in equal quarterly installments over one year, subject to his continued service; he is not entitled to any additional fees, bonuses, severance or performance-based compensation. The Chairman Agreement further provides for reimbursement of reasonable business expenses, indemnification and directors’ and officers’ liability insurance to the fullest extent permitted by law, and includes customary confidentiality covenants and an acknowledgment that Mr. Lekstrom is intended to qualify as an independent director under applicable Nasdaq and SEC rules. Either party may terminate the Chairman Agreement on notice (or automatically upon Mr. Lekstrom’s death, disability or failure to be elected or re-elected as a director), in which case he will be entitled to accrued but unpaid cash retainers and reimbursable expenses, with any outstanding equity awards treated in accordance with the applicable plan and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Mitchell Williams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the Company entered into an Employment Agreement (the “Williams Agreement”) which became effective May 28, 2025, by and between the Company and Mr. Williams. Under the Williams Agreement, Mr. Williams will receive an annual base salary of $500,000 and shall be entitled to a minimum Annual Bonus for 2025 equal to 100% of the Annual Salary, not subject to proration, paid when annual bonuses are normally paid to employees (the “2025 Minimum Bonus”), provided, however, that if the Company terminates Mr. Williams’ employment for Cause or Mr. Williams resigns without Good Reason prior to the payment of the 2025 Minimum Bonus, he shall forfeit his entitlement to the 2025 Minimum Bonus. Additionally, in the event of a Liquidity Event prior to the payment of the 2025 Minimum Bonus, it shall be paid upon the occurrence of the Liquidity Event. Mr. Williams also was granted 1,000,000 restricted stock units that vesting as follows in each case subject to his continued service: (i) six hundred eleven thousand one hundred eleven (611,111) of the Awarded Shares shall vest and become issuable on April 29, 2026 (the “First Vesting Date”), (ii) fifty-five thousand five hundred fifty-seven (55,557) of the Awarded Shares shall vest and become issuable on May 29, 2026, (iii) one hundred sixty-six thousand six hundred sixty-seven (166,667) of the Awarded Shares shall vest and become issuable on August 29, 2026, and (iv) one hundred sixty-six thousand six hundred sixty-five (166,665) of the Awarded Shares shall vest and become issuable on November 29, 2026.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Anthony Amato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Company entered into an Executive Employment Agreement (the “Amato Agreement”) which became effective August 1, 2024, by and between the Company and Mr. Amato. Under the Amato Agreement, effective August 1, 2024, Mr. Amato was to serve as Chief Executive Officer and receive a base salary of $300,000 annually, and was eligible for a discretionary bonus equal to 60% of this salary. On September 11, 2024, he was granted stock options for 2,400,000 shares at an exercise price of $0.4479 per share, with half immediately vested and the remainder vesting biannually over four years. Additionally, Mr. Amato received 275,000 fully vested restricted shares and another 1,275,000 restricted shares vesting biannually over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in connection with Mr. Amato’s resignation pursuant to the Share Purchase Agreement, the Company and Mr. Amato entered into (i) a First Amendment to the Executive Employment Agreement (the “First Amendment”) and (ii) a letter agreement (the “Right to Place”). Pursuant to the First Amendment, upon the effectiveness of Mr. Amato’s resignation, Mr. Amato was entitled to severance pay of $400,000, less applicable deductions, payable in equal installments over eight months and full acceleration of all outstanding equity awards, which will become fully vested and exercisable, with an extended post-resignation exercise period for his stock options. Pursuant to the Right to Place, Mr. Amato agreed not to sell his securities of the Company for a period of 12 months without first offering them to the Company. The Right to Place provided the Company with a limited right to purchase such shares prior to any third-party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Tax Gross-Ups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make gross-up payments to cover our executives’ personal income taxes that may pertain to any of the compensation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Policy on the Timing of Awards of Options and Other Option-Like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approves with the recommendation of the compensation committee to grant equity awards based on performance. The board of directors has not established policies and practices (whether written or otherwise) regarding the timing of option grants or other awards in relation to the release of material non-public information (“MNPI”) and does not take MNPI into account when determining the timing and terms of stock option or other equity awards to executive officers. The Company does not time the disclosure of MNPI, whether positive or negative,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equity awards that have been previously awarded to each of the named executive officers and which remained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1370" w:type="dxa"/>
        <w:jc w:val="left"/>
        <w:tblInd w:w="0" w:type="dxa"/>
        <w:tblLayout w:type="fixed"/>
        <w:tblCellMar>
          <w:top w:w="0" w:type="dxa"/>
          <w:left w:w="0" w:type="dxa"/>
          <w:bottom w:w="28" w:type="dxa"/>
          <w:right w:w="0" w:type="dxa"/>
        </w:tblCellMar>
      </w:tblPr>
      <w:tblGrid>
        <w:gridCol w:w="1205"/>
        <w:gridCol w:w="60"/>
        <w:gridCol w:w="72"/>
        <w:gridCol w:w="1193"/>
        <w:gridCol w:w="215"/>
        <w:gridCol w:w="60"/>
        <w:gridCol w:w="559"/>
        <w:gridCol w:w="886"/>
        <w:gridCol w:w="60"/>
        <w:gridCol w:w="60"/>
        <w:gridCol w:w="149"/>
        <w:gridCol w:w="726"/>
        <w:gridCol w:w="60"/>
        <w:gridCol w:w="60"/>
        <w:gridCol w:w="1115"/>
        <w:gridCol w:w="60"/>
        <w:gridCol w:w="60"/>
        <w:gridCol w:w="980"/>
        <w:gridCol w:w="215"/>
        <w:gridCol w:w="60"/>
        <w:gridCol w:w="140"/>
        <w:gridCol w:w="980"/>
        <w:gridCol w:w="60"/>
        <w:gridCol w:w="60"/>
        <w:gridCol w:w="402"/>
        <w:gridCol w:w="638"/>
        <w:gridCol w:w="60"/>
        <w:gridCol w:w="60"/>
        <w:gridCol w:w="402"/>
        <w:gridCol w:w="638"/>
        <w:gridCol w:w="75"/>
      </w:tblGrid>
      <w:tr>
        <w:trPr/>
        <w:tc>
          <w:tcPr>
            <w:tcW w:w="1205"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jc w:val="center"/>
              <w:rPr>
                <w:b/>
              </w:rPr>
            </w:pPr>
            <w:r>
              <w:rPr>
                <w:b/>
              </w:rPr>
              <w:t>Number of</w:t>
            </w:r>
          </w:p>
          <w:p>
            <w:pPr>
              <w:pStyle w:val="TableContents"/>
              <w:bidi w:val="0"/>
              <w:jc w:val="center"/>
              <w:rPr>
                <w:b/>
              </w:rPr>
            </w:pPr>
            <w:r>
              <w:rPr>
                <w:b/>
              </w:rPr>
              <w:t>Securities</w:t>
            </w:r>
          </w:p>
          <w:p>
            <w:pPr>
              <w:pStyle w:val="TableContents"/>
              <w:bidi w:val="0"/>
              <w:jc w:val="center"/>
              <w:rPr>
                <w:b/>
              </w:rPr>
            </w:pPr>
            <w:r>
              <w:rPr>
                <w:b/>
              </w:rPr>
              <w:t>underlying</w:t>
            </w:r>
          </w:p>
          <w:p>
            <w:pPr>
              <w:pStyle w:val="TableContents"/>
              <w:bidi w:val="0"/>
              <w:jc w:val="center"/>
              <w:rPr>
                <w:b/>
              </w:rPr>
            </w:pPr>
            <w:r>
              <w:rPr>
                <w:b/>
              </w:rPr>
              <w:t>Unexercised</w:t>
            </w:r>
          </w:p>
          <w:p>
            <w:pPr>
              <w:pStyle w:val="TableContents"/>
              <w:bidi w:val="0"/>
              <w:jc w:val="center"/>
              <w:rPr>
                <w:b/>
              </w:rPr>
            </w:pPr>
            <w:r>
              <w:rPr>
                <w:b/>
              </w:rPr>
              <w:t>Options (#)</w:t>
            </w:r>
          </w:p>
          <w:p>
            <w:pPr>
              <w:pStyle w:val="TableContents"/>
              <w:bidi w:val="0"/>
              <w:spacing w:before="0" w:after="283"/>
              <w:jc w:val="center"/>
              <w:rPr>
                <w:b/>
              </w:rPr>
            </w:pPr>
            <w:r>
              <w:rPr>
                <w:b/>
              </w:rPr>
              <w:t>Exercisable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jc w:val="center"/>
              <w:rPr>
                <w:b/>
              </w:rPr>
            </w:pPr>
            <w:r>
              <w:rPr>
                <w:b/>
              </w:rPr>
              <w:t>Number of</w:t>
            </w:r>
          </w:p>
          <w:p>
            <w:pPr>
              <w:pStyle w:val="TableContents"/>
              <w:bidi w:val="0"/>
              <w:jc w:val="center"/>
              <w:rPr>
                <w:b/>
              </w:rPr>
            </w:pPr>
            <w:r>
              <w:rPr>
                <w:b/>
              </w:rPr>
              <w:t>Securities</w:t>
            </w:r>
          </w:p>
          <w:p>
            <w:pPr>
              <w:pStyle w:val="TableContents"/>
              <w:bidi w:val="0"/>
              <w:jc w:val="center"/>
              <w:rPr>
                <w:b/>
              </w:rPr>
            </w:pPr>
            <w:r>
              <w:rPr>
                <w:b/>
              </w:rPr>
              <w:t>underlying</w:t>
            </w:r>
          </w:p>
          <w:p>
            <w:pPr>
              <w:pStyle w:val="TableContents"/>
              <w:bidi w:val="0"/>
              <w:jc w:val="center"/>
              <w:rPr>
                <w:b/>
              </w:rPr>
            </w:pPr>
            <w:r>
              <w:rPr>
                <w:b/>
              </w:rPr>
              <w:t>Unexercised</w:t>
            </w:r>
          </w:p>
          <w:p>
            <w:pPr>
              <w:pStyle w:val="TableContents"/>
              <w:bidi w:val="0"/>
              <w:jc w:val="center"/>
              <w:rPr>
                <w:b/>
              </w:rPr>
            </w:pPr>
            <w:r>
              <w:rPr>
                <w:b/>
              </w:rPr>
              <w:t>Options (#)</w:t>
            </w:r>
          </w:p>
          <w:p>
            <w:pPr>
              <w:pStyle w:val="TableContents"/>
              <w:bidi w:val="0"/>
              <w:spacing w:before="0" w:after="283"/>
              <w:jc w:val="center"/>
              <w:rPr>
                <w:b/>
              </w:rPr>
            </w:pPr>
            <w:r>
              <w:rPr>
                <w:b/>
              </w:rP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jc w:val="center"/>
              <w:rPr>
                <w:b/>
              </w:rPr>
            </w:pPr>
            <w:r>
              <w:rPr>
                <w:b/>
              </w:rPr>
              <w:t>Option</w:t>
            </w:r>
          </w:p>
          <w:p>
            <w:pPr>
              <w:pStyle w:val="TableContents"/>
              <w:bidi w:val="0"/>
              <w:jc w:val="center"/>
              <w:rPr>
                <w:b/>
              </w:rPr>
            </w:pPr>
            <w:r>
              <w:rPr>
                <w:b/>
              </w:rPr>
              <w:t>Exercise</w:t>
            </w:r>
          </w:p>
          <w:p>
            <w:pPr>
              <w:pStyle w:val="TableContents"/>
              <w:bidi w:val="0"/>
              <w:jc w:val="center"/>
              <w:rPr>
                <w:b/>
              </w:rPr>
            </w:pPr>
            <w:r>
              <w:rPr>
                <w:b/>
              </w:rPr>
              <w:t>Price</w:t>
            </w:r>
          </w:p>
          <w:p>
            <w:pPr>
              <w:pStyle w:val="TableContents"/>
              <w:bidi w:val="0"/>
              <w:spacing w:before="0" w:after="283"/>
              <w:jc w:val="center"/>
              <w:rPr>
                <w:b/>
              </w:rPr>
            </w:pPr>
            <w:r>
              <w:rPr>
                <w:b/>
              </w:rPr>
              <w:t>($/Sh)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jc w:val="center"/>
              <w:rPr>
                <w:b/>
              </w:rPr>
            </w:pPr>
            <w:r>
              <w:rPr>
                <w:b/>
              </w:rPr>
              <w:t>Option</w:t>
            </w:r>
          </w:p>
          <w:p>
            <w:pPr>
              <w:pStyle w:val="TableContents"/>
              <w:bidi w:val="0"/>
              <w:jc w:val="center"/>
              <w:rPr>
                <w:b/>
              </w:rPr>
            </w:pPr>
            <w:r>
              <w:rPr>
                <w:b/>
              </w:rPr>
              <w:t>Expiration</w:t>
            </w:r>
          </w:p>
          <w:p>
            <w:pPr>
              <w:pStyle w:val="TableContents"/>
              <w:bidi w:val="0"/>
              <w:spacing w:before="0" w:after="283"/>
              <w:jc w:val="center"/>
              <w:rPr>
                <w:b/>
              </w:rPr>
            </w:pPr>
            <w:r>
              <w:rPr>
                <w:b/>
              </w:rPr>
              <w:t>Date</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jc w:val="center"/>
              <w:rPr>
                <w:b/>
              </w:rPr>
            </w:pPr>
            <w:r>
              <w:rPr>
                <w:b/>
              </w:rPr>
              <w:t>Number</w:t>
            </w:r>
          </w:p>
          <w:p>
            <w:pPr>
              <w:pStyle w:val="TableContents"/>
              <w:bidi w:val="0"/>
              <w:jc w:val="center"/>
              <w:rPr>
                <w:b/>
              </w:rPr>
            </w:pPr>
            <w:r>
              <w:rPr>
                <w:b/>
              </w:rPr>
              <w:t>of Shares</w:t>
            </w:r>
          </w:p>
          <w:p>
            <w:pPr>
              <w:pStyle w:val="TableContents"/>
              <w:bidi w:val="0"/>
              <w:jc w:val="center"/>
              <w:rPr>
                <w:b/>
              </w:rPr>
            </w:pPr>
            <w:r>
              <w:rPr>
                <w:b/>
              </w:rPr>
              <w:t>or Units</w:t>
            </w:r>
          </w:p>
          <w:p>
            <w:pPr>
              <w:pStyle w:val="TableContents"/>
              <w:bidi w:val="0"/>
              <w:jc w:val="center"/>
              <w:rPr>
                <w:b/>
              </w:rPr>
            </w:pPr>
            <w:r>
              <w:rPr>
                <w:b/>
              </w:rPr>
              <w:t>of Stock</w:t>
            </w:r>
          </w:p>
          <w:p>
            <w:pPr>
              <w:pStyle w:val="TableContents"/>
              <w:bidi w:val="0"/>
              <w:jc w:val="center"/>
              <w:rPr>
                <w:b/>
              </w:rPr>
            </w:pPr>
            <w:r>
              <w:rPr>
                <w:b/>
              </w:rPr>
              <w:t>that have</w:t>
            </w:r>
          </w:p>
          <w:p>
            <w:pPr>
              <w:pStyle w:val="TableContents"/>
              <w:bidi w:val="0"/>
              <w:jc w:val="center"/>
              <w:rPr>
                <w:b/>
              </w:rPr>
            </w:pPr>
            <w:r>
              <w:rPr>
                <w:b/>
              </w:rPr>
              <w:t>not</w:t>
            </w:r>
          </w:p>
          <w:p>
            <w:pPr>
              <w:pStyle w:val="TableContents"/>
              <w:bidi w:val="0"/>
              <w:jc w:val="center"/>
              <w:rPr>
                <w:b/>
              </w:rPr>
            </w:pPr>
            <w:r>
              <w:rPr>
                <w:b/>
              </w:rPr>
              <w:t>Vested</w:t>
            </w:r>
          </w:p>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Market</w:t>
            </w:r>
          </w:p>
          <w:p>
            <w:pPr>
              <w:pStyle w:val="TableContents"/>
              <w:bidi w:val="0"/>
              <w:jc w:val="center"/>
              <w:rPr>
                <w:rFonts w:ascii="Times New Roman;Times;Serif" w:hAnsi="Times New Roman;Times;Serif"/>
                <w:b/>
                <w:sz w:val="20"/>
              </w:rPr>
            </w:pPr>
            <w:r>
              <w:rPr>
                <w:rFonts w:ascii="Times New Roman;Times;Serif" w:hAnsi="Times New Roman;Times;Serif"/>
                <w:b/>
                <w:sz w:val="20"/>
              </w:rPr>
              <w:t>Value of</w:t>
            </w:r>
          </w:p>
          <w:p>
            <w:pPr>
              <w:pStyle w:val="TableContents"/>
              <w:bidi w:val="0"/>
              <w:jc w:val="center"/>
              <w:rPr>
                <w:rFonts w:ascii="Times New Roman;Times;Serif" w:hAnsi="Times New Roman;Times;Serif"/>
                <w:b/>
                <w:sz w:val="20"/>
              </w:rPr>
            </w:pPr>
            <w:r>
              <w:rPr>
                <w:rFonts w:ascii="Times New Roman;Times;Serif" w:hAnsi="Times New Roman;Times;Serif"/>
                <w:b/>
                <w:sz w:val="20"/>
              </w:rPr>
              <w:t>Shares of</w:t>
            </w:r>
          </w:p>
          <w:p>
            <w:pPr>
              <w:pStyle w:val="TableContents"/>
              <w:bidi w:val="0"/>
              <w:jc w:val="center"/>
              <w:rPr>
                <w:rFonts w:ascii="Times New Roman;Times;Serif" w:hAnsi="Times New Roman;Times;Serif"/>
                <w:b/>
                <w:sz w:val="20"/>
              </w:rPr>
            </w:pPr>
            <w:r>
              <w:rPr>
                <w:rFonts w:ascii="Times New Roman;Times;Serif" w:hAnsi="Times New Roman;Times;Serif"/>
                <w:b/>
                <w:sz w:val="20"/>
              </w:rPr>
              <w:t>Units</w:t>
            </w:r>
          </w:p>
          <w:p>
            <w:pPr>
              <w:pStyle w:val="TableContents"/>
              <w:bidi w:val="0"/>
              <w:jc w:val="center"/>
              <w:rPr>
                <w:rFonts w:ascii="Times New Roman;Times;Serif" w:hAnsi="Times New Roman;Times;Serif"/>
                <w:b/>
                <w:sz w:val="20"/>
              </w:rPr>
            </w:pPr>
            <w:r>
              <w:rPr>
                <w:rFonts w:ascii="Times New Roman;Times;Serif" w:hAnsi="Times New Roman;Times;Serif"/>
                <w:b/>
                <w:sz w:val="20"/>
              </w:rPr>
              <w:t>That Have</w:t>
            </w:r>
          </w:p>
          <w:p>
            <w:pPr>
              <w:pStyle w:val="TableContents"/>
              <w:bidi w:val="0"/>
              <w:jc w:val="center"/>
              <w:rPr>
                <w:rFonts w:ascii="Times New Roman;Times;Serif" w:hAnsi="Times New Roman;Times;Serif"/>
                <w:b/>
                <w:sz w:val="20"/>
              </w:rPr>
            </w:pPr>
            <w:r>
              <w:rPr>
                <w:rFonts w:ascii="Times New Roman;Times;Serif" w:hAnsi="Times New Roman;Times;Serif"/>
                <w:b/>
                <w:sz w:val="20"/>
              </w:rPr>
              <w:t>Not</w:t>
            </w:r>
          </w:p>
          <w:p>
            <w:pPr>
              <w:pStyle w:val="TableContents"/>
              <w:bidi w:val="0"/>
              <w:jc w:val="center"/>
              <w:rPr>
                <w:rFonts w:ascii="Times New Roman;Times;Serif" w:hAnsi="Times New Roman;Times;Serif"/>
                <w:b/>
                <w:sz w:val="20"/>
              </w:rPr>
            </w:pPr>
            <w:r>
              <w:rPr>
                <w:rFonts w:ascii="Times New Roman;Times;Serif" w:hAnsi="Times New Roman;Times;Serif"/>
                <w:b/>
                <w:sz w:val="20"/>
              </w:rPr>
              <w:t>Vested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jc w:val="center"/>
              <w:rPr>
                <w:b/>
              </w:rPr>
            </w:pPr>
            <w:r>
              <w:rPr>
                <w:b/>
              </w:rPr>
              <w:t>Equity</w:t>
            </w:r>
          </w:p>
          <w:p>
            <w:pPr>
              <w:pStyle w:val="TableContents"/>
              <w:bidi w:val="0"/>
              <w:jc w:val="center"/>
              <w:rPr>
                <w:b/>
              </w:rPr>
            </w:pPr>
            <w:r>
              <w:rPr>
                <w:b/>
              </w:rPr>
              <w:t>Incentive</w:t>
            </w:r>
          </w:p>
          <w:p>
            <w:pPr>
              <w:pStyle w:val="TableContents"/>
              <w:bidi w:val="0"/>
              <w:jc w:val="center"/>
              <w:rPr>
                <w:b/>
              </w:rPr>
            </w:pPr>
            <w:r>
              <w:rPr>
                <w:b/>
              </w:rPr>
              <w:t>Plan</w:t>
            </w:r>
          </w:p>
          <w:p>
            <w:pPr>
              <w:pStyle w:val="TableContents"/>
              <w:bidi w:val="0"/>
              <w:jc w:val="center"/>
              <w:rPr>
                <w:b/>
              </w:rPr>
            </w:pPr>
            <w:r>
              <w:rPr>
                <w:b/>
              </w:rPr>
              <w:t>Awards:</w:t>
            </w:r>
          </w:p>
          <w:p>
            <w:pPr>
              <w:pStyle w:val="TableContents"/>
              <w:bidi w:val="0"/>
              <w:jc w:val="center"/>
              <w:rPr>
                <w:b/>
              </w:rPr>
            </w:pPr>
            <w:r>
              <w:rPr>
                <w:b/>
              </w:rPr>
              <w:t>Number of</w:t>
            </w:r>
          </w:p>
          <w:p>
            <w:pPr>
              <w:pStyle w:val="TableContents"/>
              <w:bidi w:val="0"/>
              <w:jc w:val="center"/>
              <w:rPr>
                <w:b/>
              </w:rPr>
            </w:pPr>
            <w:r>
              <w:rPr>
                <w:b/>
              </w:rPr>
              <w:t>Unearned</w:t>
            </w:r>
          </w:p>
          <w:p>
            <w:pPr>
              <w:pStyle w:val="TableContents"/>
              <w:bidi w:val="0"/>
              <w:jc w:val="center"/>
              <w:rPr>
                <w:b/>
              </w:rPr>
            </w:pPr>
            <w:r>
              <w:rPr>
                <w:b/>
              </w:rPr>
              <w:t>Shares,</w:t>
            </w:r>
          </w:p>
          <w:p>
            <w:pPr>
              <w:pStyle w:val="TableContents"/>
              <w:bidi w:val="0"/>
              <w:jc w:val="center"/>
              <w:rPr>
                <w:b/>
              </w:rPr>
            </w:pPr>
            <w:r>
              <w:rPr>
                <w:b/>
              </w:rPr>
              <w:t>Units or</w:t>
            </w:r>
          </w:p>
          <w:p>
            <w:pPr>
              <w:pStyle w:val="TableContents"/>
              <w:bidi w:val="0"/>
              <w:jc w:val="center"/>
              <w:rPr>
                <w:b/>
              </w:rPr>
            </w:pPr>
            <w:r>
              <w:rPr>
                <w:b/>
              </w:rPr>
              <w:t>Other</w:t>
            </w:r>
          </w:p>
          <w:p>
            <w:pPr>
              <w:pStyle w:val="TableContents"/>
              <w:bidi w:val="0"/>
              <w:jc w:val="center"/>
              <w:rPr>
                <w:b/>
              </w:rPr>
            </w:pPr>
            <w:r>
              <w:rPr>
                <w:b/>
              </w:rPr>
              <w:t>Rights</w:t>
            </w:r>
          </w:p>
          <w:p>
            <w:pPr>
              <w:pStyle w:val="TableContents"/>
              <w:bidi w:val="0"/>
              <w:jc w:val="center"/>
              <w:rPr>
                <w:b/>
              </w:rPr>
            </w:pPr>
            <w:r>
              <w:rPr>
                <w:b/>
              </w:rPr>
              <w:t>that Have</w:t>
            </w:r>
          </w:p>
          <w:p>
            <w:pPr>
              <w:pStyle w:val="TableContents"/>
              <w:bidi w:val="0"/>
              <w:jc w:val="center"/>
              <w:rPr>
                <w:b/>
              </w:rPr>
            </w:pPr>
            <w:r>
              <w:rPr>
                <w:b/>
              </w:rPr>
              <w:t>Not Vested</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jc w:val="center"/>
              <w:rPr>
                <w:b/>
              </w:rPr>
            </w:pPr>
            <w:r>
              <w:rPr>
                <w:b/>
              </w:rPr>
              <w:t>Equity</w:t>
            </w:r>
          </w:p>
          <w:p>
            <w:pPr>
              <w:pStyle w:val="TableContents"/>
              <w:bidi w:val="0"/>
              <w:jc w:val="center"/>
              <w:rPr>
                <w:b/>
              </w:rPr>
            </w:pPr>
            <w:r>
              <w:rPr>
                <w:b/>
              </w:rPr>
              <w:t>Incentive</w:t>
            </w:r>
          </w:p>
          <w:p>
            <w:pPr>
              <w:pStyle w:val="TableContents"/>
              <w:bidi w:val="0"/>
              <w:jc w:val="center"/>
              <w:rPr>
                <w:b/>
              </w:rPr>
            </w:pPr>
            <w:r>
              <w:rPr>
                <w:b/>
              </w:rPr>
              <w:t>Plan</w:t>
            </w:r>
          </w:p>
          <w:p>
            <w:pPr>
              <w:pStyle w:val="TableContents"/>
              <w:bidi w:val="0"/>
              <w:jc w:val="center"/>
              <w:rPr>
                <w:b/>
              </w:rPr>
            </w:pPr>
            <w:r>
              <w:rPr>
                <w:b/>
              </w:rPr>
              <w:t>Awards:</w:t>
            </w:r>
          </w:p>
          <w:p>
            <w:pPr>
              <w:pStyle w:val="TableContents"/>
              <w:bidi w:val="0"/>
              <w:jc w:val="center"/>
              <w:rPr>
                <w:b/>
              </w:rPr>
            </w:pPr>
            <w:r>
              <w:rPr>
                <w:b/>
              </w:rPr>
              <w:t>Market of</w:t>
            </w:r>
          </w:p>
          <w:p>
            <w:pPr>
              <w:pStyle w:val="TableContents"/>
              <w:bidi w:val="0"/>
              <w:jc w:val="center"/>
              <w:rPr>
                <w:b/>
              </w:rPr>
            </w:pPr>
            <w:r>
              <w:rPr>
                <w:b/>
              </w:rPr>
              <w:t>Payout</w:t>
            </w:r>
          </w:p>
          <w:p>
            <w:pPr>
              <w:pStyle w:val="TableContents"/>
              <w:bidi w:val="0"/>
              <w:jc w:val="center"/>
              <w:rPr>
                <w:b/>
              </w:rPr>
            </w:pPr>
            <w:r>
              <w:rPr>
                <w:b/>
              </w:rPr>
              <w:t>Value of</w:t>
            </w:r>
          </w:p>
          <w:p>
            <w:pPr>
              <w:pStyle w:val="TableContents"/>
              <w:bidi w:val="0"/>
              <w:jc w:val="center"/>
              <w:rPr>
                <w:b/>
              </w:rPr>
            </w:pPr>
            <w:r>
              <w:rPr>
                <w:b/>
              </w:rPr>
              <w:t>Unearned</w:t>
            </w:r>
          </w:p>
          <w:p>
            <w:pPr>
              <w:pStyle w:val="TableContents"/>
              <w:bidi w:val="0"/>
              <w:jc w:val="center"/>
              <w:rPr>
                <w:b/>
              </w:rPr>
            </w:pPr>
            <w:r>
              <w:rPr>
                <w:b/>
              </w:rPr>
              <w:t>Shares,</w:t>
            </w:r>
          </w:p>
          <w:p>
            <w:pPr>
              <w:pStyle w:val="TableContents"/>
              <w:bidi w:val="0"/>
              <w:jc w:val="center"/>
              <w:rPr>
                <w:b/>
              </w:rPr>
            </w:pPr>
            <w:r>
              <w:rPr>
                <w:b/>
              </w:rPr>
              <w:t>Units or</w:t>
            </w:r>
          </w:p>
          <w:p>
            <w:pPr>
              <w:pStyle w:val="TableContents"/>
              <w:bidi w:val="0"/>
              <w:jc w:val="center"/>
              <w:rPr>
                <w:b/>
              </w:rPr>
            </w:pPr>
            <w:r>
              <w:rPr>
                <w:b/>
              </w:rPr>
              <w:t>Other</w:t>
            </w:r>
          </w:p>
          <w:p>
            <w:pPr>
              <w:pStyle w:val="TableContents"/>
              <w:bidi w:val="0"/>
              <w:jc w:val="center"/>
              <w:rPr>
                <w:b/>
              </w:rPr>
            </w:pPr>
            <w:r>
              <w:rPr>
                <w:b/>
              </w:rPr>
              <w:t>Rights</w:t>
            </w:r>
          </w:p>
          <w:p>
            <w:pPr>
              <w:pStyle w:val="TableContents"/>
              <w:bidi w:val="0"/>
              <w:jc w:val="center"/>
              <w:rPr>
                <w:b/>
              </w:rPr>
            </w:pPr>
            <w:r>
              <w:rPr>
                <w:b/>
              </w:rPr>
              <w:t>that Have</w:t>
            </w:r>
          </w:p>
          <w:p>
            <w:pPr>
              <w:pStyle w:val="TableContents"/>
              <w:bidi w:val="0"/>
              <w:jc w:val="center"/>
              <w:rPr>
                <w:b/>
              </w:rPr>
            </w:pPr>
            <w:r>
              <w:rPr>
                <w:b/>
              </w:rPr>
              <w:t>Not Vested</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Anthony Amato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2,400,000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6" w:type="dxa"/>
            <w:tcBorders/>
            <w:shd w:fill="CCEEFF" w:val="clear"/>
            <w:tcMar>
              <w:bottom w:w="0" w:type="dxa"/>
            </w:tcMar>
            <w:vAlign w:val="center"/>
          </w:tcPr>
          <w:p>
            <w:pPr>
              <w:pStyle w:val="TableContents"/>
              <w:bidi w:val="0"/>
              <w:spacing w:before="0" w:after="283"/>
              <w:jc w:val="right"/>
              <w:rPr/>
            </w:pPr>
            <w:r>
              <w:rPr/>
              <w:t>0.4479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9/11/2034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Karl Henry McPhie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Ferdinand Groenewald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Mitchell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1,000,000</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3,030,000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9" w:type="dxa"/>
            <w:tcBorders/>
            <w:shd w:fill="FFFFFF" w:val="clear"/>
            <w:tcMar>
              <w:bottom w:w="0" w:type="dxa"/>
            </w:tcMar>
            <w:vAlign w:val="center"/>
          </w:tcPr>
          <w:p>
            <w:pPr>
              <w:pStyle w:val="TableContents"/>
              <w:bidi w:val="0"/>
              <w:spacing w:before="0" w:after="283"/>
              <w:jc w:val="left"/>
              <w:rPr/>
            </w:pPr>
            <w:r>
              <w:rPr/>
              <w:t> </w:t>
            </w:r>
          </w:p>
        </w:tc>
        <w:tc>
          <w:tcPr>
            <w:tcW w:w="88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2"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Frederick D. Hrkac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5,000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6" w:type="dxa"/>
            <w:tcBorders/>
            <w:shd w:fill="CCEEFF" w:val="clear"/>
            <w:tcMar>
              <w:bottom w:w="0" w:type="dxa"/>
            </w:tcMar>
            <w:vAlign w:val="center"/>
          </w:tcPr>
          <w:p>
            <w:pPr>
              <w:pStyle w:val="TableContents"/>
              <w:bidi w:val="0"/>
              <w:spacing w:before="0" w:after="283"/>
              <w:jc w:val="right"/>
              <w:rPr/>
            </w:pPr>
            <w:r>
              <w:rPr/>
              <w:t>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5/12/2032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193" w:type="dxa"/>
            <w:tcBorders/>
            <w:shd w:fill="CCEEFF" w:val="clear"/>
            <w:tcMar>
              <w:bottom w:w="0" w:type="dxa"/>
            </w:tcMar>
            <w:vAlign w:val="center"/>
          </w:tcPr>
          <w:p>
            <w:pPr>
              <w:pStyle w:val="TableContents"/>
              <w:bidi w:val="0"/>
              <w:spacing w:before="0" w:after="283"/>
              <w:jc w:val="right"/>
              <w:rPr/>
            </w:pPr>
            <w:r>
              <w:rPr/>
              <w:t>60,000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 </w:t>
            </w:r>
          </w:p>
        </w:tc>
        <w:tc>
          <w:tcPr>
            <w:tcW w:w="8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w:t>
            </w:r>
          </w:p>
        </w:tc>
        <w:tc>
          <w:tcPr>
            <w:tcW w:w="726" w:type="dxa"/>
            <w:tcBorders/>
            <w:shd w:fill="CCEEFF" w:val="clear"/>
            <w:tcMar>
              <w:bottom w:w="0" w:type="dxa"/>
            </w:tcMar>
            <w:vAlign w:val="center"/>
          </w:tcPr>
          <w:p>
            <w:pPr>
              <w:pStyle w:val="TableContents"/>
              <w:bidi w:val="0"/>
              <w:spacing w:before="0" w:after="283"/>
              <w:jc w:val="right"/>
              <w:rPr/>
            </w:pPr>
            <w:r>
              <w:rPr/>
              <w:t>4.74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r>
              <w:rPr/>
              <w:t>12/28/2033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2"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market value of the shares underlying the stock awards not yet vested as of December 31, 2025, based on the closing price of our common stock on The Nasdaq Stock Market LLC of $3.03 on December 31, 2025.</w:t>
            </w:r>
          </w:p>
        </w:tc>
      </w:tr>
      <w:tr>
        <w:trPr/>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in connection with the Company’s acquisition of Streamex Exchange, the Company entered into an amendment to the Executive Employment Agreement with Mr. Amato, its former Chief Executive Officer. Pursuant to the amendment, all previously granted equity awards to Mr. Amato including vested and unvested stock options were accelerated and deemed fully vested and nonforfeitable as of May 28, 2025. In addition, the post-resignation exercise period for all vested options was extended to the later of the original expiration date or 36 months following the transaction closing.</w:t>
            </w:r>
          </w:p>
        </w:tc>
      </w:tr>
      <w:tr>
        <w:trPr/>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Williams was granted 1,000,000 RSUs on May 29, 2025, which 611,111 vest on April 29, 2026, 55,557 vest on May 29, 2026, 166,667 vest on August 29, 2026 and 166,665 vest on November 29, 2026, subject to his continued service.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total compensation for each person who served as a non-employee director of our Board during the fiscal year ended December 31, 2025. Other than as set forth in the table and described more fully below, we did not pay any compensation, reimburse any expense of, make any equity awards or non-equity awards to, or pay any other compensation to any of the other members of our Board in such period.</w:t>
      </w:r>
    </w:p>
    <w:p>
      <w:pPr>
        <w:pStyle w:val="TextBody"/>
        <w:bidi w:val="0"/>
        <w:spacing w:before="0" w:after="0"/>
        <w:ind w:left="0" w:right="0" w:hanging="0"/>
        <w:jc w:val="both"/>
        <w:rPr>
          <w:caps w:val="false"/>
          <w:smallCaps w:val="false"/>
        </w:rPr>
      </w:pPr>
      <w:r>
        <w:rPr>
          <w:caps w:val="false"/>
          <w:smallCaps w:val="false"/>
        </w:rPr>
        <w:t> </w:t>
      </w:r>
    </w:p>
    <w:tbl>
      <w:tblPr>
        <w:tblW w:w="9831" w:type="dxa"/>
        <w:jc w:val="left"/>
        <w:tblInd w:w="0" w:type="dxa"/>
        <w:tblLayout w:type="fixed"/>
        <w:tblCellMar>
          <w:top w:w="0" w:type="dxa"/>
          <w:left w:w="0" w:type="dxa"/>
          <w:bottom w:w="28" w:type="dxa"/>
          <w:right w:w="0" w:type="dxa"/>
        </w:tblCellMar>
      </w:tblPr>
      <w:tblGrid>
        <w:gridCol w:w="2240"/>
        <w:gridCol w:w="60"/>
        <w:gridCol w:w="159"/>
        <w:gridCol w:w="910"/>
        <w:gridCol w:w="60"/>
        <w:gridCol w:w="60"/>
        <w:gridCol w:w="150"/>
        <w:gridCol w:w="1054"/>
        <w:gridCol w:w="290"/>
        <w:gridCol w:w="60"/>
        <w:gridCol w:w="717"/>
        <w:gridCol w:w="487"/>
        <w:gridCol w:w="60"/>
        <w:gridCol w:w="60"/>
        <w:gridCol w:w="1279"/>
        <w:gridCol w:w="870"/>
        <w:gridCol w:w="60"/>
        <w:gridCol w:w="60"/>
        <w:gridCol w:w="140"/>
        <w:gridCol w:w="980"/>
        <w:gridCol w:w="75"/>
      </w:tblGrid>
      <w:tr>
        <w:trPr/>
        <w:tc>
          <w:tcPr>
            <w:tcW w:w="224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 (1)</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8" w:space="0" w:color="000000"/>
            </w:tcBorders>
            <w:vAlign w:val="center"/>
          </w:tcPr>
          <w:p>
            <w:pPr>
              <w:pStyle w:val="TableContents"/>
              <w:bidi w:val="0"/>
              <w:jc w:val="center"/>
              <w:rPr>
                <w:b/>
              </w:rPr>
            </w:pPr>
            <w:r>
              <w:rPr>
                <w:b/>
              </w:rPr>
              <w:t>All Other</w:t>
            </w:r>
          </w:p>
          <w:p>
            <w:pPr>
              <w:pStyle w:val="TableContents"/>
              <w:bidi w:val="0"/>
              <w:spacing w:before="0" w:after="283"/>
              <w:jc w:val="center"/>
              <w:rPr>
                <w:b/>
              </w:rPr>
            </w:pPr>
            <w:r>
              <w:rPr>
                <w:b/>
              </w:rPr>
              <w:t>Compensation ($)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Chris Baer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25,326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537,110</w:t>
            </w:r>
          </w:p>
        </w:tc>
        <w:tc>
          <w:tcPr>
            <w:tcW w:w="290"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w:t>
            </w:r>
          </w:p>
        </w:tc>
        <w:tc>
          <w:tcPr>
            <w:tcW w:w="4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lef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562,436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Donald Browne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38,764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537,110</w:t>
            </w:r>
          </w:p>
        </w:tc>
        <w:tc>
          <w:tcPr>
            <w:tcW w:w="290"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left"/>
              <w:rPr/>
            </w:pPr>
            <w:r>
              <w:rPr/>
              <w:t>$</w:t>
            </w:r>
          </w:p>
        </w:tc>
        <w:tc>
          <w:tcPr>
            <w:tcW w:w="4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left"/>
              <w:rPr/>
            </w:pPr>
            <w:r>
              <w:rPr/>
              <w:t>$</w:t>
            </w:r>
          </w:p>
        </w:tc>
        <w:tc>
          <w:tcPr>
            <w:tcW w:w="8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575,874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Steven Abelman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25,326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537,110</w:t>
            </w:r>
          </w:p>
        </w:tc>
        <w:tc>
          <w:tcPr>
            <w:tcW w:w="290"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w:t>
            </w:r>
          </w:p>
        </w:tc>
        <w:tc>
          <w:tcPr>
            <w:tcW w:w="4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lef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562,436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Anthony Amato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25,326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left"/>
              <w:rPr/>
            </w:pPr>
            <w:r>
              <w:rPr/>
              <w:t>$</w:t>
            </w:r>
          </w:p>
        </w:tc>
        <w:tc>
          <w:tcPr>
            <w:tcW w:w="4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left"/>
              <w:rPr/>
            </w:pPr>
            <w:r>
              <w:rPr/>
              <w:t>$</w:t>
            </w:r>
          </w:p>
        </w:tc>
        <w:tc>
          <w:tcPr>
            <w:tcW w:w="8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25,326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Karl Henry McPhie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w:t>
            </w:r>
          </w:p>
        </w:tc>
        <w:tc>
          <w:tcPr>
            <w:tcW w:w="4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lef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Kevin Gopaul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13,438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left"/>
              <w:rPr/>
            </w:pPr>
            <w:r>
              <w:rPr/>
              <w:t>$</w:t>
            </w:r>
          </w:p>
        </w:tc>
        <w:tc>
          <w:tcPr>
            <w:tcW w:w="4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left"/>
              <w:rPr/>
            </w:pPr>
            <w:r>
              <w:rPr/>
              <w:t>$</w:t>
            </w:r>
          </w:p>
        </w:tc>
        <w:tc>
          <w:tcPr>
            <w:tcW w:w="8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13,438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Morgan Lekstrom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82,242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7" w:type="dxa"/>
            <w:tcBorders/>
            <w:shd w:fill="CCEEFF" w:val="clear"/>
            <w:tcMar>
              <w:bottom w:w="0" w:type="dxa"/>
            </w:tcMar>
            <w:vAlign w:val="center"/>
          </w:tcPr>
          <w:p>
            <w:pPr>
              <w:pStyle w:val="TableContents"/>
              <w:bidi w:val="0"/>
              <w:spacing w:before="0" w:after="283"/>
              <w:jc w:val="left"/>
              <w:rPr/>
            </w:pPr>
            <w:r>
              <w:rPr/>
              <w:t>$</w:t>
            </w:r>
          </w:p>
        </w:tc>
        <w:tc>
          <w:tcPr>
            <w:tcW w:w="4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9" w:type="dxa"/>
            <w:tcBorders/>
            <w:shd w:fill="CCEEFF" w:val="clear"/>
            <w:tcMar>
              <w:bottom w:w="0" w:type="dxa"/>
            </w:tcMar>
            <w:vAlign w:val="center"/>
          </w:tcPr>
          <w:p>
            <w:pPr>
              <w:pStyle w:val="TableContents"/>
              <w:bidi w:val="0"/>
              <w:spacing w:before="0" w:after="283"/>
              <w:jc w:val="left"/>
              <w:rPr/>
            </w:pPr>
            <w:r>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82,242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w:t>
            </w:r>
          </w:p>
        </w:tc>
        <w:tc>
          <w:tcPr>
            <w:tcW w:w="910" w:type="dxa"/>
            <w:tcBorders/>
            <w:shd w:fill="FFFFFF" w:val="clear"/>
            <w:tcMar>
              <w:bottom w:w="0" w:type="dxa"/>
            </w:tcMar>
            <w:vAlign w:val="center"/>
          </w:tcPr>
          <w:p>
            <w:pPr>
              <w:pStyle w:val="TableContents"/>
              <w:bidi w:val="0"/>
              <w:spacing w:before="0" w:after="283"/>
              <w:jc w:val="right"/>
              <w:rPr/>
            </w:pPr>
            <w:r>
              <w:rPr/>
              <w:t>210,422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054" w:type="dxa"/>
            <w:tcBorders/>
            <w:shd w:fill="FFFFFF" w:val="clear"/>
            <w:tcMar>
              <w:bottom w:w="0" w:type="dxa"/>
            </w:tcMar>
            <w:vAlign w:val="center"/>
          </w:tcPr>
          <w:p>
            <w:pPr>
              <w:pStyle w:val="TableContents"/>
              <w:bidi w:val="0"/>
              <w:spacing w:before="0" w:after="283"/>
              <w:jc w:val="right"/>
              <w:rPr/>
            </w:pPr>
            <w:r>
              <w:rPr/>
              <w:t>1,611,330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7" w:type="dxa"/>
            <w:tcBorders/>
            <w:shd w:fill="FFFFFF" w:val="clear"/>
            <w:tcMar>
              <w:bottom w:w="0" w:type="dxa"/>
            </w:tcMar>
            <w:vAlign w:val="center"/>
          </w:tcPr>
          <w:p>
            <w:pPr>
              <w:pStyle w:val="TableContents"/>
              <w:bidi w:val="0"/>
              <w:spacing w:before="0" w:after="283"/>
              <w:jc w:val="left"/>
              <w:rPr/>
            </w:pPr>
            <w:r>
              <w:rPr/>
              <w:t>$</w:t>
            </w:r>
          </w:p>
        </w:tc>
        <w:tc>
          <w:tcPr>
            <w:tcW w:w="4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9" w:type="dxa"/>
            <w:tcBorders/>
            <w:shd w:fill="FFFFFF" w:val="clear"/>
            <w:tcMar>
              <w:bottom w:w="0" w:type="dxa"/>
            </w:tcMar>
            <w:vAlign w:val="center"/>
          </w:tcPr>
          <w:p>
            <w:pPr>
              <w:pStyle w:val="TableContents"/>
              <w:bidi w:val="0"/>
              <w:spacing w:before="0" w:after="283"/>
              <w:jc w:val="left"/>
              <w:rPr/>
            </w:pPr>
            <w:r>
              <w:rPr/>
              <w:t>$</w:t>
            </w:r>
          </w:p>
        </w:tc>
        <w:tc>
          <w:tcPr>
            <w:tcW w:w="8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1,821,752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this column reflects the aggregate fair value of stock or option awards granted during the fiscal year ended December 31, 2025, computed as of their respective grant dates in accordance with Financial Accounting Standard Board Accounting Standards Codification Topic 718 for share-based compensation transactions.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a common stock award of 23,345 fully vested shares granted and issued on April 24, 2025 and (ii) a common stock award of 125,000 fully vested shares granted and issued on November 18, 2025 to each of the respective directors.</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Baer resigned as a member of the Company’s board of directors on November 18, 2025.</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Brown accepted the chair of the audit committee position upon the resignation of Mr. Abelman.</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Abelman resigned as a member of the Company’s board of directors on November 18, 2025.</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Amato resigned as a member of the Company’s board of directors on November 18, 2025.</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Board appointed Mr. McPhie to serve as a director.</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Board appointed Kevin Gopaul to serve as an independent director.</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Mr. Lekstrom was appointed as the Interim Chairman of the Board. On November 18, 2025, the Company entered into the Interim Chairman of the Board Agreement with Mr. Lekstrom.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we executed an offer letter (the “Marciano Offer Letter”) with Mr. Marciano in connection with his appointment. As set forth in the Marciano Offer Letter, Mr. Marciano will receive compensation consistent with the Company’s non-employee director compensation policy as in effect from time to time. Under the Company’s current policy, Mr. Marciano is entitled to an annual cash retainer of $40,000, as well as an additional annual retainer of $25,000 for each Board committee on which he serves. Mr. Marciano is also eligible to receive annual equity compensation, the amount and form of which will be determined by the Compensation Committee in accordance with the Company’s equity compensation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we executed an offer letter with Shawn Matthews (the “Matthews Offer Letter”), in connection with Mr. Matthew’s appointment. Pursuant to the Matthews Offer Letter, Mr. Matthews will receive compensation consistent with the Company’s non-employee director compensation policy, as in effect from time to time. Under the Company’s current policy, Mr. Matthews is entitled to an annual cash retainer of $40,000, as well as an additional annual retainer of $25,000 for each Board committee on which he serves. Mr. Matthews received a restricted stock award for 100,000 shares of common stock in connection with such appointment. Mr. Matthews is also eligible to receive additional annual equity compensation, the amount and form of which will be determined by the Company’s Compensation Committee in accordance with the Company’s equity compensation policies. The Company will provide Mr. Matthews with the same indemnification rights afforded to its other directors under its governing documents and applicable law, including the advancement of expenses to the fullest extent permitted. Additionally, the Company will maintain directors and officers liability insurance covering Mr. Matthews in his capacity as a director, on terms no less favorable than those applicable to other members of the Board. Such coverage will remain in effect for the duration of Mr. Matthews’ duration of service and for any applicable tail period following his departure, as required by law or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we executed an offer letter (the “Gopaul Offer Letter”) with Kevin Gopaul (such offer letter, the “Gopaul Offer Letter”), in connection with Mr. Matthew’s appointment. As set forth in the Gopaul Offer Letter, Mr. Gopaul will receive compensation consistent with the Company’s non-employee director compensation policy as in effect from time to time. Under the Company’s current policy, Mr. Gopaul is entitled to an annual cash retainer of $40,000, as well as an additional annual retainer of $25,000 for each Board committee on which he serves. Mr. Gopaul is also eligible to receive annual equity compensation, the amount and form of which will be determined by the Compensation Committee in accordance with the Company’s equity compensation policies.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12 </w:t>
      </w:r>
      <w:r>
        <w:rPr>
          <w:rFonts w:ascii="Times New Roman;Times;Serif" w:hAnsi="Times New Roman;Times;Serif"/>
          <w:b w:val="false"/>
          <w:i w:val="false"/>
          <w:caps w:val="false"/>
          <w:smallCaps w:val="false"/>
          <w:sz w:val="20"/>
        </w:rPr>
        <w:t xml:space="preserve">– </w:t>
      </w:r>
      <w:bookmarkStart w:id="1416" w:name="VK_008"/>
      <w:bookmarkEnd w:id="1416"/>
      <w:r>
        <w:rPr>
          <w:rFonts w:ascii="Times New Roman;Times;Serif" w:hAnsi="Times New Roman;Times;Serif"/>
          <w:b/>
          <w:i w:val="false"/>
          <w:caps w:val="false"/>
          <w:smallCaps w:val="false"/>
          <w:sz w:val="20"/>
        </w:rPr>
        <w:t>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as of December 31, 2025, with respect to our equity compensation plans under which our equity securities are authorized for issuance:</w:t>
      </w:r>
    </w:p>
    <w:p>
      <w:pPr>
        <w:pStyle w:val="TextBody"/>
        <w:bidi w:val="0"/>
        <w:spacing w:before="0" w:after="0"/>
        <w:ind w:left="0" w:right="0" w:hanging="0"/>
        <w:jc w:val="left"/>
        <w:rPr>
          <w:caps w:val="false"/>
          <w:smallCaps w:val="false"/>
        </w:rPr>
      </w:pPr>
      <w:r>
        <w:rPr>
          <w:caps w:val="false"/>
          <w:smallCaps w:val="false"/>
        </w:rPr>
        <w:t> </w:t>
      </w:r>
    </w:p>
    <w:tbl>
      <w:tblPr>
        <w:tblW w:w="9244" w:type="dxa"/>
        <w:jc w:val="left"/>
        <w:tblInd w:w="0" w:type="dxa"/>
        <w:tblLayout w:type="fixed"/>
        <w:tblCellMar>
          <w:top w:w="0" w:type="dxa"/>
          <w:left w:w="0" w:type="dxa"/>
          <w:bottom w:w="28" w:type="dxa"/>
          <w:right w:w="0" w:type="dxa"/>
        </w:tblCellMar>
      </w:tblPr>
      <w:tblGrid>
        <w:gridCol w:w="5645"/>
        <w:gridCol w:w="60"/>
        <w:gridCol w:w="71"/>
        <w:gridCol w:w="953"/>
        <w:gridCol w:w="60"/>
        <w:gridCol w:w="60"/>
        <w:gridCol w:w="243"/>
        <w:gridCol w:w="767"/>
        <w:gridCol w:w="60"/>
        <w:gridCol w:w="60"/>
        <w:gridCol w:w="61"/>
        <w:gridCol w:w="1129"/>
        <w:gridCol w:w="75"/>
      </w:tblGrid>
      <w:tr>
        <w:trPr/>
        <w:tc>
          <w:tcPr>
            <w:tcW w:w="5645"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 issued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column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5" w:type="dxa"/>
            <w:tcBorders/>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pPr>
            <w:r>
              <w:rPr/>
              <w:t>Equity compensation plans approved by security holders(1)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767" w:type="dxa"/>
            <w:tcBorders/>
            <w:shd w:fill="CCEEFF" w:val="clear"/>
            <w:tcMar>
              <w:bottom w:w="0" w:type="dxa"/>
            </w:tcMar>
            <w:vAlign w:val="center"/>
          </w:tcPr>
          <w:p>
            <w:pPr>
              <w:pStyle w:val="TableContents"/>
              <w:bidi w:val="0"/>
              <w:spacing w:before="0" w:after="283"/>
              <w:jc w:val="right"/>
              <w:rPr/>
            </w:pPr>
            <w:r>
              <w:rPr/>
              <w:t>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26,247,506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45" w:type="dxa"/>
            <w:tcBorders/>
            <w:shd w:fill="FFFFFF" w:val="clear"/>
            <w:tcMar>
              <w:bottom w:w="0" w:type="dxa"/>
            </w:tcMar>
            <w:vAlign w:val="center"/>
          </w:tcPr>
          <w:p>
            <w:pPr>
              <w:pStyle w:val="TableContents"/>
              <w:bidi w:val="0"/>
              <w:spacing w:before="0" w:after="283"/>
              <w:jc w:val="left"/>
              <w:rPr/>
            </w:pPr>
            <w:r>
              <w:rPr/>
              <w:t>Equity compensation plans approved by security holders(2)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3"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8" w:space="0" w:color="000000"/>
            </w:tcBorders>
            <w:shd w:fill="FFFFFF" w:val="clear"/>
            <w:vAlign w:val="center"/>
          </w:tcPr>
          <w:p>
            <w:pPr>
              <w:pStyle w:val="TableContents"/>
              <w:bidi w:val="0"/>
              <w:spacing w:before="0" w:after="283"/>
              <w:jc w:val="left"/>
              <w:rPr/>
            </w:pPr>
            <w:r>
              <w:rPr/>
              <w:t>$</w:t>
            </w:r>
          </w:p>
        </w:tc>
        <w:tc>
          <w:tcPr>
            <w:tcW w:w="767"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8" w:space="0" w:color="000000"/>
            </w:tcBorders>
            <w:shd w:fill="FFFFFF" w:val="clear"/>
            <w:vAlign w:val="center"/>
          </w:tcPr>
          <w:p>
            <w:pPr>
              <w:pStyle w:val="TableContents"/>
              <w:bidi w:val="0"/>
              <w:spacing w:before="0" w:after="283"/>
              <w:jc w:val="left"/>
              <w:rPr/>
            </w:pPr>
            <w:r>
              <w:rPr/>
              <w:t> </w:t>
            </w:r>
          </w:p>
        </w:tc>
        <w:tc>
          <w:tcPr>
            <w:tcW w:w="1129" w:type="dxa"/>
            <w:tcBorders>
              <w:bottom w:val="single" w:sz="8" w:space="0" w:color="000000"/>
            </w:tcBorders>
            <w:shd w:fill="FFFFFF" w:val="clear"/>
            <w:vAlign w:val="center"/>
          </w:tcPr>
          <w:p>
            <w:pPr>
              <w:pStyle w:val="TableContents"/>
              <w:bidi w:val="0"/>
              <w:spacing w:before="0" w:after="283"/>
              <w:jc w:val="right"/>
              <w:rPr/>
            </w:pPr>
            <w:r>
              <w:rPr/>
              <w:t>2,915,071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4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double" w:sz="6" w:space="0" w:color="000000"/>
            </w:tcBorders>
            <w:shd w:fill="CCEEFF" w:val="clear"/>
            <w:vAlign w:val="center"/>
          </w:tcPr>
          <w:p>
            <w:pPr>
              <w:pStyle w:val="TableContents"/>
              <w:bidi w:val="0"/>
              <w:spacing w:before="0" w:after="283"/>
              <w:jc w:val="left"/>
              <w:rPr/>
            </w:pPr>
            <w:r>
              <w:rPr/>
              <w:t> </w:t>
            </w:r>
          </w:p>
        </w:tc>
        <w:tc>
          <w:tcPr>
            <w:tcW w:w="953"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vAlign w:val="center"/>
          </w:tcPr>
          <w:p>
            <w:pPr>
              <w:pStyle w:val="TableContents"/>
              <w:bidi w:val="0"/>
              <w:spacing w:before="0" w:after="283"/>
              <w:jc w:val="left"/>
              <w:rPr/>
            </w:pPr>
            <w:r>
              <w:rPr/>
              <w:t>$</w:t>
            </w:r>
          </w:p>
        </w:tc>
        <w:tc>
          <w:tcPr>
            <w:tcW w:w="767"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1129" w:type="dxa"/>
            <w:tcBorders>
              <w:bottom w:val="double" w:sz="6" w:space="0" w:color="000000"/>
            </w:tcBorders>
            <w:shd w:fill="CCEEFF" w:val="clear"/>
            <w:vAlign w:val="center"/>
          </w:tcPr>
          <w:p>
            <w:pPr>
              <w:pStyle w:val="TableContents"/>
              <w:bidi w:val="0"/>
              <w:spacing w:before="0" w:after="283"/>
              <w:jc w:val="right"/>
              <w:rPr/>
            </w:pPr>
            <w:r>
              <w:rPr/>
              <w:t>29,162,577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available for issuance under the 2023 Plan.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shares available for issuance under the ViralClear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Streamex Corp. 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The purpose of the 2023 Plan is to enable us to remain competitive and innovative in our ability to attract and retain the services of key employees, key contractors, and outside directors of the Company and our subsidiaries. The 2023 Plan provides for the granting of incentive stock options, nonqualified stock options, stock appreciation rights (“SARs”), restricted stock, restricted stock units, performance awards, dividend equivalent rights, other awards, performance goals, and tandem awards which may be granted singly or in combination, or in tandem, and that may be paid in cash, shares of our Common Stock, or other consideration, or any combination thereof. The 2023 Plan is expected to provide flexibility to our compensation methods in order to adapt the compensation of our key employees, key contractors, and outside directors to a changing business environment, after giving due consideration to competitive conditions and the impact of applicable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Effective Date and Expiration</w:t>
      </w:r>
      <w:r>
        <w:rPr>
          <w:rFonts w:ascii="Times New Roman;Times;Serif" w:hAnsi="Times New Roman;Times;Serif"/>
          <w:b w:val="false"/>
          <w:i w:val="false"/>
          <w:caps w:val="false"/>
          <w:smallCaps w:val="false"/>
          <w:sz w:val="20"/>
        </w:rPr>
        <w:t>. The 2023 Plan was approved by our Board on December 27, 2022 (the “Effective Date”) and approved by our stockholders at a special meeting held on February 7, 2023. The 2023 Plan will terminate on the tenth anniversary of the Effective Date, unless earlier terminated by our Board. No award may be granted under the 2023 Plan after its termination date, but awards made prior to the termination date may extend beyond that date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Authorization</w:t>
      </w:r>
      <w:r>
        <w:rPr>
          <w:rFonts w:ascii="Times New Roman;Times;Serif" w:hAnsi="Times New Roman;Times;Serif"/>
          <w:b w:val="false"/>
          <w:i w:val="false"/>
          <w:caps w:val="false"/>
          <w:smallCaps w:val="false"/>
          <w:sz w:val="20"/>
        </w:rPr>
        <w:t>. Subject to certain adjustments, the maximum aggregate number of shares of our Common Stock that may be delivered pursuant to awards under the 2023 Plan is currently 37,230,130 shares, subject to adjustment in certain circumstances to prevent dilution or enlargement as described below. All of the shares available for issuance as an award under the 2023 Plan may be delivered pursuant to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to be issued under the 2023 Plan may be made available from authorized but unissued shares of our Common Stock, Common Stock held in our treasury, or shares purchased by us on the open market or otherwise. During the term of the 2023 Plan, we will at all times reserve and keep enough shares available to satisfy the requirements of the 2023 Plan. Shares underlying awards granted under the 2023 Plan that expire or are forfeited, or terminated without being exercised, or awards that are settled for cash, will again be available for the grant of additional awards within the limits provided by in the 2023 Plan. If previously acquired shares of Common Stock are delivered to the Company in full or partial payment of the exercise price for the exercise of a stock option granted under the 2023 Plan, the number of shares of Common Stock available for future awards under the 2023 Plan shall be reduced only by the net number of shares of Common Stock issued upon exercise of the stock option. Awards that may be satisfied either by the issuance of shares of Common Stock or by cash or other consideration shall be counted against the maximum number of shares of Common Stock that may be issued under the 2023 Plan only during the period that the award is outstanding or to the extent the award is ultimately satisfied by the issuance of shares. An award will not reduce the number of shares that may be issued pursuant to the 2023 Plan if the settlement of the award will not require the issuance of shares, such as, for example, SARs that can only be satisfied by the payment of cash. Only shares forfeited back to the us or shares canceled on account of termination, expiration or lapse of an award, shares surrendered in payment of the exercise price of a stock option or shares withheld for payment of applicable employment taxes and/or withholding obligations resulting from the exercise of an option shall again be available for grant as incentive stock options under the 2023 Plan, but shall not increase the maximum number of shares that may be delivered pursuant to incentive stock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Under the terms of the 2023 Plan, the 2023 Plan will be administered by our Board or such committee of the Board as is designated by the Board to administer the 2023 Plan (the “Committee”), which, to the extent necessary to satisfy the requirements of Rule 16b-3 under the Exchange Act, shall consist entirely of two or more “outside directors” as defined in Rule 16b-3 under the Exchange Act. At any time there is no Committee to administer the 2023 Plan, any reference to the Committee is a reference to our Board. The Committee will determine the persons to whom awards are to be made; determine the type, size, and terms of awards; interpret the 2023 Plan; establish and revise rules and regulations relating to the 2023 Plan and any sub-plans (including sub-plans for awards made to participants who do not reside in the United States); establish performance goals applicable to awards and certify the extent of their achievement; and make any other determinations that it believes are necessary for the administration of the 2023 Plan. The Committee may delegate certain of its duties to one or more of our officers as provided in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The 2023 Plan provides for awards to the outside directors, officers, employees, and contractors of the Company and our subsidiaries. As of March 27, 2026, there were 9 employees, 6 directors, and approximately 12 consultants eligible to participate in the 2023 Plan. The Company’s current Section 16 executive officers and each member of our Board are among the individuals eligible to receive awards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Subject to the terms and provisions of the 2023 Plan, options to purchase shares of our Common Stock may be granted to eligible individuals at any time and from time to time as determined by the Committee. Stock options may be granted as incentive stock options, which are intended to qualify for favorable treatment to the recipient under federal tax law, or as nonqualified stock options, which do not qualify for such favorable tax treatment. Subject to the limits provided in the 2023 Plan, the Committee determines the number of stock options granted to each recipient. Each stock option grant will be evidenced by a stock option agreement that specifies the stock option’s exercise price, whether the stock options are intended to be incentive stock options or nonqualified stock options, the duration of the stock options, the number of shares to which the stock options pertain, and such additional limitations, terms, and conditions as the Committee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determines the exercise price for each stock option granted, except that the exercise price may not be less than 100% of the fair market value of a share of our Common Stock on the date of grant; provided, however, that if an incentive stock option is granted to an employee who owns or is deemed to own more than 10% of the combined voting power of all classes of our Common Stock (or of any parent or subsidiary), the exercise price must be at least 110% of the fair market value of a share of our Common Stock on the date of grant. All stock options granted under the 2023 Plan will expire no later than ten years (or, in the case of an incentive stock option granted to an employee who owns or is deemed to own more than 10% of the combined voting power of all classes of our Common Stock (or of any parent or subsidiary), five years) from the date of grant. Stock options are nontransferable except by will or by the laws of descent and distribution or, in the case of nonqualified stock options, as otherwise expressly permitted by the Committee. The granting of a stock option does not accord the recipient the rights of a stockholder, and such rights accrue only after the exercise of a stock option and the registration of shares of our Common Stock in the recipient’s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The 2023 Plan authorizes the Committee to grant SARs, either as a separate award or in connection with a stock option. A SAR entitles the holder to receive from us, upon exercise, an amount equal to the excess, if any, of the aggregate fair market value of a specified number of shares of our Common Stock to which such SAR pertains over the aggregate exercise price for the underlying shares. The exercise price of a SAR shall not be less than 100% of the fair market value of a share of our Common Stock on the date of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SAR will be evidenced by an award agreement that specifies the exercise price, the number of shares to which the SAR pertains, and such additional limitations, terms, and conditions as the Committee may determine. We may make payment of the amount to which the participant exercising SARs is entitled by delivering shares of our Common Stock, cash, or a combination of stock and cash as set forth in the award agreement relating to the SARs. SARs are not transferable except as expressly permitted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xml:space="preserve"> The 2023 Plan provides for the award of shares of our Common Stock that are subject to forfeiture and restrictions on transferability as set forth in the 2023 Plan, the applicable award agreement, and as may be otherwise determined by the Committee. Except for these restrictions and any others imposed by the Committee, upon the grant of restricted stock, the recipient will have rights of a stockholder with respect to the restricted stock, including the right to vote the restricted stock and to receive all dividends and other distributions paid or made with respect to the restricted stock on such terms as will be set forth in the applicable award agreement; provided, however, such dividends or distributions may, if provided in the applicable award agreement, be withheld by us for a participant’s account until the restrictions lapse with respect to such restricted stock. During the restriction period set by the Committee, the recipient may not sell, transfer, pledge, exchange, or otherwise encumber the 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xml:space="preserve"> The 2023 Plan authorizes the Committee to grant restricted stock units. Restricted stock units are not shares of our Common Stock and do not entitle the recipients to the rights of a stockholder, although the award agreement may provide for rights with respect to dividends or dividend equivalents. The recipient may not sell, transfer, pledge, or otherwise encumber restricted stock units granted under the 2023 Plan prior to their vesting. Restricted stock units will be settled in shares of our Common Stock, in an amount based on the fair market value of our Common Stock on the settlement date. If the right to receive dividends on restricted stock units is awarded, then, if provided in the applicable award agreement, such dividends may be withheld by us for a participant’s account until the restrictions lapse with respect to such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Equivalent Rights</w:t>
      </w:r>
      <w:r>
        <w:rPr>
          <w:rFonts w:ascii="Times New Roman;Times;Serif" w:hAnsi="Times New Roman;Times;Serif"/>
          <w:b w:val="false"/>
          <w:i w:val="false"/>
          <w:caps w:val="false"/>
          <w:smallCaps w:val="false"/>
          <w:sz w:val="20"/>
        </w:rPr>
        <w:t>. The Committee may grant a dividend equivalent right either as a component of another award or as a separate award. The terms and conditions of the dividend equivalent right will be specified by the grant and, when granted as a component of another award, may have terms and conditions different from such other award. Dividend equivalent rights granted as a separate award also may be paid currently or may be deemed to be reinvested in additional Common Stock. Any such reinvestment will be at the fair market value at the time thereof. Dividend equivalent rights may be settled in cash 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Committee may grant performance awards payable at the end of a specified performance period in cash, shares of Common Stock, or other rights based upon, payable in, or otherwise related to our Common Stock. Payment will be contingent upon achieving pre-established performance goals (as described below) by the end of the applicable performance period. The Committee will determine the length of the performance period, the maximum payment value of an award, and the minimum performance goals required before payment will be made, so long as such provisions are not inconsistent with the terms of the 2023 Plan, and to the extent an award is subject to Section 409A of the Internal Revenue Code of 1986, as amended (the “Code”), are in compliance with the applicable requirements of Section 409A of the Code and any applicable regulations or authoritative guidance issued thereunder. In certain circumstances, the Committee may, in its discretion, determine that the amount payable with respect to certain performance awards will be reduced from the maximum amount of any potential awards. If the Committee determines, in its sole discretion, that the established performance measures or objectives are no longer suitable because of a change in our business, operations, corporate structure, or for other reasons that the Committee deems satisfactory, the Committee may modify the performance measures or objectives and/or the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xml:space="preserve"> The 2023 Plan provides that performance goals may be established by the Committee in connection with the grant of any award under the 2023 Plan. Such goals shall be based on the attainment of specified levels of one or more business criteria, which may include, without limitation: cash flow; cost; revenues; sales; ratio of debt to debt plus equity; net borrowing, credit quality or debt ratings; profit before tax; economic profit; earnings before interest and taxes; earnings before interest, taxes, depreciation and amortization; gross margin; earnings per share (whether on a pre-tax, after-tax, operational or other basis);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our Common Stock; return on assets, equity or stockholders’ equity; market share; inventory levels, inventory turn or shrinkage; total return to stockholders; or any other criteria determined by the Committee, in each case with respect to the Company or any one or more of our subsidiaries, divisions, business units, or business segments, either in absolute terms or relative to the performance of one or more other companies (including an index covering multiple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Awards.</w:t>
      </w:r>
      <w:r>
        <w:rPr>
          <w:rFonts w:ascii="Times New Roman;Times;Serif" w:hAnsi="Times New Roman;Times;Serif"/>
          <w:b w:val="false"/>
          <w:i w:val="false"/>
          <w:caps w:val="false"/>
          <w:smallCaps w:val="false"/>
          <w:sz w:val="20"/>
        </w:rPr>
        <w:t xml:space="preserve"> The Committee may grant other forms of awards, based upon, payable in, or that otherwise relate to, in whole or in part, shares of our Common Stock, if the Committee determines that such other form of award is consistent with the purpose and restrictions of the 2023 Plan. The terms and conditions of such other form of award shall be specified in the grant. Such other awards may be granted for no cash consideration, for such minimum consideration as may be required by applicable law, or for such other consideration as may be specified in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of Awards; Forfeiture; Assignment.</w:t>
      </w:r>
      <w:r>
        <w:rPr>
          <w:rFonts w:ascii="Times New Roman;Times;Serif" w:hAnsi="Times New Roman;Times;Serif"/>
          <w:b w:val="false"/>
          <w:i w:val="false"/>
          <w:caps w:val="false"/>
          <w:smallCaps w:val="false"/>
          <w:sz w:val="20"/>
        </w:rPr>
        <w:t xml:space="preserve"> Except as otherwise provided below, the Committee, in its sole discretion, may determine that an award will be immediately vested, in whole or in part, or that all or any portion may not be vested until a date, or dates, subsequent to its date of grant, or until the occurrence of one or more specified events, subject in any case to the terms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impose on any award, at the time of grant or thereafter, such additional terms and conditions as the Committee determines, including terms requiring forfeiture of awards in the event of a participant’s termination of service. The Committee will specify the circumstances under which performance awards may be forfeited in the event of a termination of service by a participant prior to the end of a performance period or settlement of awards. Except as otherwise determined by the Committee, restricted stock will be forfeited upon a participant’s termination of service during the applicable restriction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2023 Plan generally are not assignable or transferable except by will or by the laws of descent and distribution, except that the Committee may, in its discretion and pursuant to the terms of an award agreement, permit transfers of nonqualified stock options or SARs to: (i) the spouse (or former spouse), children, or grandchildren of the participant (“Immediate Family Members”); (ii) a trust or trusts for the exclusive benefit of such Immediate Family Members; (iii) a partnership in which the only partners are (a) such Immediate Family Members and/or (b) entities that are controlled by the participant and/or his or her Immediate Family Members; (iv) an entity exempt from federal income tax pursuant to Section 501(c)(3) of the Code or any successor provision; or (v) a split interest trust or pooled income fund described in Section 2522(c)(2) of the Code or any successor provision, provided that (x) there shall be no consideration for any such transfer, (y) the applicable award agreement pursuant to which such nonqualified stock options or SARs are granted must be approved by the Committee and must expressly provide for such transferability, and (z) subsequent transfers of transferred nonqualified stock options or SARs shall be prohibited except those by will or the laws of descent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xml:space="preserve">. In connection with a change in control, outstanding awards may be converted into new awards, exchanged or substituted for with new awards, or canceled for no consideration, provided participants were given notice and an opportunity to purchase or exercise such awards, or cancelled and cashed out based on the positive difference between the per share amount to be received in connection with the transaction and the purchase/exercise price per share of the award, if any. The description of a change in control and its effects on awards granted under the 2023 Plan is qualified in its entirety by reference to the relevant terms and provisions of the 2023 Plan, which, as amended to date, is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to our Proxy Statement filed with the SEC on November 20,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Recoupment for Restatements</w:t>
      </w:r>
      <w:r>
        <w:rPr>
          <w:rFonts w:ascii="Times New Roman;Times;Serif" w:hAnsi="Times New Roman;Times;Serif"/>
          <w:b w:val="false"/>
          <w:i w:val="false"/>
          <w:caps w:val="false"/>
          <w:smallCaps w:val="false"/>
          <w:sz w:val="20"/>
        </w:rPr>
        <w:t>. The Company may recoup all or any portion of any shares of our Common Stock or cash paid to a participant in connection with an award, in the event of a restatement of our financial statements as set forth in our clawback policy as may be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Adjustments Upon Changes in Capitalization.</w:t>
      </w:r>
      <w:r>
        <w:rPr>
          <w:rFonts w:ascii="Times New Roman;Times;Serif" w:hAnsi="Times New Roman;Times;Serif"/>
          <w:b w:val="false"/>
          <w:i w:val="false"/>
          <w:caps w:val="false"/>
          <w:smallCaps w:val="false"/>
          <w:sz w:val="20"/>
        </w:rPr>
        <w:t xml:space="preserve"> In the event that any dividend or other distribution (whether in the form of cash, shares of our Common Stock, other securities, or other property), recapitalization, stock split, reverse stock split, rights offering, reorganization, merger, consolidation, split-up, spin-off, split-off, combination, subdivision, repurchase, or exchange of shares of our Common Stock or other securities, issuance of warrants or other rights to purchase shares of our Common Stock or other securities, or other similar corporate transaction or event affects the fair market value of an award, the Committee shall adjust any or all of the following so that the fair market value of the award immediately after the transaction or event is equal to the fair market value of the award immediately prior to the transaction or event: (i) the number of shares and type of Common Stock (or other securities or property) that thereafter may be made the subject of awards; (ii) the number of shares and type of Common Stock (or other securities or property) subject to outstanding awards; (iii) the exercise price of each outstanding stock option; (iv) the amount, if any, we pay for forfeited shares in accordance with the terms of the 2023 Plan; and (v) the number of or exercise price of shares then subject to outstanding SARs previously granted and unexercised under the 2023 Plan, to the extent that the same proportion of our issued and outstanding shares of Common Stock in each instance shall remain subject to exercise at the same aggregate exercise price; provided, however, that the number of shares of Common Stock (or other securities or property) subject to any award shall always be a whole number. Notwithstanding the foregoing, no such adjustment shall be made or authorized to the extent that such adjustment would cause the 2023 Plan or any stock option to violate Section 422 of the Code or Section 409A of the Code. All such adjustments must be made in accordance with the rules of any securities exchange, stock market, or stock quotation system to which we are subject.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Discontinuance of the 2023 Plan</w:t>
      </w:r>
      <w:r>
        <w:rPr>
          <w:rFonts w:ascii="Times New Roman;Times;Serif" w:hAnsi="Times New Roman;Times;Serif"/>
          <w:b w:val="false"/>
          <w:i w:val="false"/>
          <w:caps w:val="false"/>
          <w:smallCaps w:val="false"/>
          <w:sz w:val="20"/>
        </w:rPr>
        <w:t>. Our Board may, at any time and from time to time, without the consent of participants, alter, amend, revise, suspend, or discontinue the 2023 Plan in whole or in part; provided, however, that (i) no amendment that requires stockholder approval in order for the 2023 Plan and any awards under the 2023 Plan to continue to comply with Sections 421 and 422 of the Code (including any successors to such sections or other applicable law) or any applicable requirements of any securities exchange or inter-dealer quotation system on which our Common Stock is listed or traded, shall be effective unless such amendment is approved by the requisite vote of our stockholders entitled to vote on the approval of the 2023 Plan; and (ii) unless required by law, no action by our Board regarding amendment or discontinuance of the 2023 Plan may adversely affect any rights of any participants or obligations of the Company to any participants with respect to any outstanding awards under the 2023 Plan without the consent of the affected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Repricing of Stock Options or SARs</w:t>
      </w:r>
      <w:r>
        <w:rPr>
          <w:rFonts w:ascii="Times New Roman;Times;Serif" w:hAnsi="Times New Roman;Times;Serif"/>
          <w:b w:val="false"/>
          <w:i w:val="false"/>
          <w:caps w:val="false"/>
          <w:smallCaps w:val="false"/>
          <w:sz w:val="20"/>
        </w:rPr>
        <w:t>. The Committee may not “reprice” any stock option or SAR without stockholder approval. For purposes of the 2023 Plan, “reprice” means any of the following or any other action that has the same effect: (a) amending a stock option or SAR to reduce its exercise price; (b) canceling a stock option or SAR at a time when its exercise price exceeds the fair market value of a share of our Common Stock in exchange for cash or a stock option, SAR, award of restricted stock, or other equity award; or (c) taking any other action that is treated as a repricing under generally accepted accounting principles, provided that nothing will prevent the Committee from (x) making adjustments to awards upon changes in capitalization, (y) exchanging or cancelling awards upon a merger, consolidation, or recapitalization, or (z) substituting awards for awards granted by other entities, to the extent permitted by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ViralClear Pharmaceuticals, Inc. 2019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2019, the board of directors (the “ViralClear Board”) of ViralClear approved the ViralClear Plan, subject to stockholder approval, which provides for the grant of incentive stock options, nonqualified stock options, stock appreciation rights (“SARs”), restricted stock, and restricted stock units to key employees, key contractors, and outside directors of ViralClear, to be granted from time to time as determined by the ViralClear Board or its designee. An aggregate of 4,000,000 shares of the ViralClear common stock are reserved for issuance under the ViralClear Plan. The material features of the ViralClear Plan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The purpose of the ViralClear Plan is to enable ViralClear to attract and retain the services of key employees, key contractors, and outside directors of ViralClear and its subsidiaries and to provide such persons with a proprietary interest in ViralClear. The ViralClear Plan provides for the granting of incentive stock options, nonqualified stock options, SARs, restricted stock, and restricted stock units, which may be granted singly, in combination, or in tandem; which may be paid in cash, shares of common stock, or a combination of cash and shares of common stock, as described in more detail below; and which will increase the interest of such persons in ViralClear’s welfare, furnish an incentive to such persons to continue their services for ViralClear or its subsidiaries, and provide a means through which ViralClear may attract able persons as employees, contractors, and outside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Effective Date and Expiration</w:t>
      </w:r>
      <w:r>
        <w:rPr>
          <w:rFonts w:ascii="Times New Roman;Times;Serif" w:hAnsi="Times New Roman;Times;Serif"/>
          <w:b w:val="false"/>
          <w:i w:val="false"/>
          <w:caps w:val="false"/>
          <w:smallCaps w:val="false"/>
          <w:sz w:val="20"/>
        </w:rPr>
        <w:t>. The ViralClear Plan became effective on September 24, 2019 and will continue in effect for a term of 10 years, unless earlier terminated by the ViralClear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Authorization</w:t>
      </w:r>
      <w:r>
        <w:rPr>
          <w:rFonts w:ascii="Times New Roman;Times;Serif" w:hAnsi="Times New Roman;Times;Serif"/>
          <w:b w:val="false"/>
          <w:i w:val="false"/>
          <w:caps w:val="false"/>
          <w:smallCaps w:val="false"/>
          <w:sz w:val="20"/>
        </w:rPr>
        <w:t>. Subject to certain adjustments, the maximum aggregate number of shares of our common stock that may be delivered pursuant to awards under the ViralClear Plan is currently 4,000,000 shares, 100% of which may be delivered pursuant to incentive stock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to be issued may be made available from authorized but unissued common stock, common stock held by ViralClear in its treasury, or common stock purchased by ViralClear on the open market or otherwise. During the term of the ViralClear Plan, ViralClear will at all times reserve and keep available the number of shares of common stock sufficient to satisfy the requirements of the ViralClear Plan. If an award under the ViralClear Plan is forfeited, expires, or is canceled, in whole or in part, then the number of shares of common stock covered by the award or stock option so forfeited, expired, or canceled may again be awarded pursuant to the provisions of the ViralClear Plan. In the event that previously acquired shares of common stock are delivered to ViralClear in full or partial payment of the exercise price for the exercise of a stock option granted under the ViralClear Plan, the number of shares of common stock available for future awards under the ViralClear Plan shall be reduced only by the net number of shares of common stock issued upon the exercise of the stock option. Awards that may be satisfied either by the issuance of shares of common stock or by cash or other consideration shall be counted against the maximum number of shares of common stock that may be issued under the ViralClear Plan only during the period that the award is outstanding or to the extent the award is ultimately satisfied by the issuance of shares of common stock. Awards will not reduce the number of shares of common stock that may be issued pursuant to the ViralClear Plan if the settlement of the award will not require the issuance of shares of common stock, as, for example, a SAR that can be satisfied only by the payment of cash. Notwithstanding any provisions of the ViralClear Plan to the contrary, only shares forfeited back to ViralClear, shares canceled on account of termination, expiration or lapse of an award, shares surrendered in payment of the exercise price of a stock option or shares withheld for payment of applicable employment taxes and/or withholding obligations resulting from the exercise of an option shall again be available for grant of incentive stock options under the ViralClear Plan, but shall not increase the maximum number of shares of common stock that may be delivered pursuant to awards under the ViralClear Plan as the maximum number of shares of common stock that may be delivered pursuant to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The ViralClear Plan may be administered by our ViralClear Board or such committee of the ViralClear Board as is designated by it to administer the ViralClear Plan (the “Committee”). The ViralClear Board or the Committee will determine and designate the persons to whom awards are to be made and set forth the award period, date of grant, terms, provisions, limitations, and performance requirements of awards. The Committee will determine whether an award shall include one type of equity incentive, two or more equity incentives granted in combination, or two or more equity incentives granted in tandem. The ViralClear Board may authorize one or more officers of ViralClear to designate one or more employees as eligible persons to whom nonqualified stock options, incentive stock options, or SARs will be granted under the ViralClear Plan and determine the number of shares of common stock that will be subject to such stock options, incentive stock options, or SARs. The Committee will interpret the ViralClear Plan and award agreements; prescribe, amend, and rescind any rules and regulations, as necessary or appropriate for the administration of the ViralClear Plan; and establish performance goals for an award and certify the action as it deems necessary or advisable in the administration of the ViralClear Plan. The Committee may delegate to officers of ViralClear the authority to perform specified functions under the ViralClear Plan. With respect to restrictions in the ViralClear Plan that are based on the requirements of Section 422 of the Internal Revenue Code of 1986, as amended (the “Code”), the rules of any exchange or inter-dealer quotation system upon which ViralClear’s securities are listed or quoted, or any other applicable law, to the extent that any such restrictions are no longer required by applicable law, the Committee shall have the sole discretion and authority to grant awards that are not subject to such mandated restrictions and/or to waive any such mandated restrictions with respect to outstanding awards. Subject to the provisions of the ViralClear Plan, the ViralClear Board and Committee’s decisions, determinations, and interpretations will be final, binding, and conclusive on all ViralClear Plan participants and any other award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Employees (including any employee who is also a director or an officer), contractors, and outside directors of ViralClear whose judgment, initiative, and efforts contributed to, or may be expected to contribute to, the successful performance of ViralClear are eligible to participate in the ViralClear Plan, provided that only employees of a corporation shall be eligible to receive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of Awards</w:t>
      </w:r>
      <w:r>
        <w:rPr>
          <w:rFonts w:ascii="Times New Roman;Times;Serif" w:hAnsi="Times New Roman;Times;Serif"/>
          <w:b w:val="false"/>
          <w:i w:val="false"/>
          <w:caps w:val="false"/>
          <w:smallCaps w:val="false"/>
          <w:sz w:val="20"/>
        </w:rPr>
        <w:t>. The grant of an award shall be authorized by the Committee and shall be evidenced by an award agreement setting forth the applicable award being granted; the total number of shares or units to be granted; the price to be paid, if any; the award period; the date of grant; and such other terms, provisions, limitations, and performance objectives, as are approved by the Committee. The Company shall execute an award agreement with a participant after the Committee approves the issuance of an award. Any award granted pursuant to the ViralClear Plan must be granted within 10 years of the date of adoption of the ViralClear Plan by the ViralClear Board. The ViralClear Plan shall be submitted to ViralClear’s stockholders for approval; however, the Committee may grant awards under the ViralClear Plan prior to the time of stockholder approval. Any such award granted prior to such stockholder approval shall be made subject to such stockholder approval. The grant of an award to a participant shall not be deemed either to entitle the participant to, or to disqualify the participant from, receipt of any other award under the ViralClear Plan. If the Committee establishes a purchase price for an award, the participant must accept such award within a period of 30 days (or such shorter period as the Committee may specify) after the date of grant by executing the applicable award agreement and paying such purchase price. Any award under the ViralClear Plan that is settled in whole or in part in cash on a deferred basis may provide for interest equivalents to be credited with respect to such cash payment. Interest equivalents may be compounded and shall be paid upon such terms and conditions as may be specified by the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The Committee may grant either incentive stock options, qualifying under Section 422 of the Code, or nonqualified stock options, provided that only employees of ViralClear are eligible to receive incentive stock options. The option price for any share of common stock which may be purchased under a nonqualified stock option for any share of common stock must be equal to or greater than the fair market value of such share on the date of grant. The option price for any share of common stock which may be purchased under an incentive stock option must be at least equal to the fair market value of such share on the date of grant. If an incentive stock option is granted to an employee who owns or is deemed to own more than 10% of the combined voting power of all classes of stock of ViralClear (or any parent or subsidiary), the option price shall be at least 110% of the fair market value of our common stock on the date of grant. No dividends may be paid or granted with respect to any stock option. No stock option shall be granted with a term of greater than 10 years from its date of grant; however, if an employee owns or is deemed to own more than 10% of the combined voting power of all classes of stock of ViralClear (or any parent or subsidiary), and an incentive stock option is granted to such employee, the term of such incentive stock option shall be no more than five years from the date of grant. The Committee may not grant incentive stock options under the ViralClear Plan to any employee that would permit the aggregate fair market value (determined on the date of grant) of the common stock with respect to which incentive stock options (under the ViralClear Plan and any other plan of ViralClear and its subsidiaries) are exercisable for the first time by such employee during any calendar year to exceed $100,000. To the extent any stock option granted under the ViralClear Plan that is designated as an incentive stock option exceeds this limit or otherwise fails to qualify as an incentive stock option, such stock option (or any such portion thereof) shall be a nonqualified stock option. In such case, the Committee shall designate which stock will be treated as incentive stock option stock by causing the issuance of a separate stock certificate and identifying such stock as incentive stock option stock on ViralClear’s stock transfer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option is exercisable prior to the time it is vested, the common stock obtained on the exercise of the stock option shall be restricted stock that is subject to the applicable provisions of the ViralClear Plan and the award agreement. If the Committee imposes conditions upon exercise, then subsequent to the date of grant, the Committee may, in its sole discretion, accelerate the date on which all or any portion of the stock option may be exercised. No stock option may be exercised for a fractional share of common stock. The granting of a stock option shall impose no obligation upon the participant to exercise that stock option. The Committee will determine the manner in which recipients of stock options may pay the option exercise price, which may include payment by cash or check, bank draft, or money order payable to the order of ViralClear; by delivery of common stock owned by the participant on the exercise date, valued at its fair market value on the exercise date, and which the participant has not acquired from ViralClear within six months prior to the exercise date; by delivery (including by FAX or electronic transmission) to ViralClear or its designated agent of an executed irrevocable option exercise form (or, to the extent permitted by ViralClear, exercise instructions, which may be communicated in writing, telephonically, or electronically) together with irrevocable instructions from the participant to a broker or dealer, reasonably acceptable to ViralClear, to sell certain of the shares of common stock purchased upon exercise of the stock option or to pledge such shares as collateral for a loan and promptly deliver to ViralClear the amount of sale or loan proceeds necessary to pay such purchase price; by requesting ViralClear to withhold the number of shares otherwise deliverable upon exercise of the stock option by the number of shares of Common Stock having an aggregate fair market value equal to the aggregate option price at the time of exercise (i.e., a cashless net exercise); and/or in any other form of valid consideration that is acceptable to the Committee in its sole discretion.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The Committee may grant SARs to any participant, either as a separate award or in connection with a stock option, and impose terms and conditions on such SARs. A SAR may be exercised by the delivery (including by FAX) of written notice to the Committee setting forth the number of shares of common stock with respect to which the SAR is to be exercised and the exercise date, which shall be at least three days after giving such notice, unless an earlier time shall have been mutually agreed upon. The grant of the SAR may provide that the holder may be paid for the value of the SAR either in cash, in shares of common stock, or a combination thereof. In the event of the exercise of a SAR payable in shares of common stock, the holder of the SAR shall receive that number of whole shares of common stock having an aggregate fair market value on the date of exercise equal to the value obtained by multiplying the difference between the fair market value of a share of common stock on the date of exercise over the SAR price as set forth in such SAR (or other value specified in the agreement granting the SAR), by the number of shares of common stock as to which the SAR is being exercised, with a cash settlement to be made for any fractional shares of common stock. The SAR price for any share of common stock subject to a SAR may be equal to or greater than the fair market value of such share on the date of grant. The Committee, in its sole discretion, may place a ceiling on the amount payable upon exercise of a SAR, but any such limitation shall be specified at the time the SAR is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Restricted stock consists of shares of our common stock that may not be sold, transferred, pledged, assigned, or otherwise alienated or hypothecated and that may be forfeited in the event of certain terminations of employment or service prior to the end of a restricted period, as specified by the Committee in the applicable award agreement. The Committee may, in its sole discretion, remove any or all of the restrictions on such restricted stock. The Committee will set forth in the award agreement: the number of shares of common stock awarded; the price, if any, to be paid by the participant for such restricted stock and the method of payment of the price; the time or times within which such award may be subject to forfeiture; specified performance goals of ViralClear, a subsidiary, any division thereof or any group of employees of ViralClear, or other criteria, which the Committee determines must be met in order to remove any restrictions (including vesting) on such award; and all other terms, limitations, restrictions, and conditions applicable to the 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Restricted stock units are the right to receive shares of common stock, cash, or a combination thereof at a future date in accordance with the terms of such grant upon the attainment of certain conditions specified by the Committee, which include a substantial risk of forfeiture and restrictions on their sale or other transfer by the participant. Restricted stock units shall be subject to such restrictions as the Committee determines, including, without limitation, a prohibition against sale, assignment, transfer, pledge, hypothecation, or other encumbrance for a specified period of time or a requirement that the holder forfeit (or in the case of shares of common stock or units sold to the participant, resell to ViralClear at cost) such shares or units in the event of termination of employment or service during the applicable period of restriction.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Forfeiture, Assignment</w:t>
      </w:r>
      <w:r>
        <w:rPr>
          <w:rFonts w:ascii="Times New Roman;Times;Serif" w:hAnsi="Times New Roman;Times;Serif"/>
          <w:b w:val="false"/>
          <w:i w:val="false"/>
          <w:caps w:val="false"/>
          <w:smallCaps w:val="false"/>
          <w:sz w:val="20"/>
        </w:rPr>
        <w:t>. The Committee, in its sole discretion, may determine that an award will be immediately vested, in whole or in part, or that all or any portion may not be vested until a date, or dates, subsequent to its date of grant, or until the occurrence of one or more specified events, subject in any case to the terms of the ViralClear Plan. If the Committee imposes conditions upon vesting, then, except as otherwise provided below, subsequent to the date of grant, the Committee may, in its sole discretion, accelerate the date on which all or any portion of the award may be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impose on any award, at the time of grant or thereafter, such additional terms and conditions as the Committee determines. Except as otherwise provided in the particular award agreement, upon termination of service during the applicable restriction period, nonvested shares of restricted stock shall be forfeited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 stock options may not be transferred, assigned, pledged, hypothecated, or otherwise conveyed or encumbered other than by will or the laws of descent and distribution and may be exercised during the lifetime of the participant only by the participant or the participant’s legally authorized representative, and each award agreement in respect of an incentive stock option shall so provide, except that the Committee may waive or modify such limitation that is not required for compliance with Section 422 of the Code. Other awards granted under the ViralClear Plan generally may not be transferred, assigned, pledged, hypothecated or otherwise conveyed or encumbered other than by will or the laws of descent and distribution. Notwithstanding the foregoing, the Committee may, in its discretion, authorize all or a portion of a nonqualified stock option or SAR to be granted to a participant on terms which permit transfer by such participant to the spouse (or former spouse), children, or grandchildren of the participant (“Immediate Family Members”); a trust or trusts for the exclusive benefit of such Immediate Family Members; a partnership in which the only partners are such Immediate Family Members and/or entities which are controlled by the participant and/or Immediate Family Members; an entity exempt from federal income tax pursuant to Section 501(c)(3) of the Code or any successor provision; or a split interest trust or pooled income fund described in Section 2522(c)(2) of the Code or any successor provision, provided that there shall be no consideration for any such transfer; the award agreement pursuant to which such nonqualified stock option or SAR is granted must be approved by the Committee and must expressly provide for transferability in a manner consistent with the ViralClear Plan; and subsequent transfers of transferred nonqualified stock options or SARs shall be prohibited except those by will or the laws of descent and distribution. Following any transfer, any such nonqualified stock option and SAR shall continue to be subject to the same terms and conditions as were applicable to such award immediately prior to transfer. The events of termination of service shall continue to be applied with respect to the original participant, following which the nonqualified stock options and SARs shall be exercisable or convertible by the transferee only to the extent and for the periods specified in the applicable award agreement. The Committee and ViralClear shall have no obligation to inform any transferee of a nonqualified stock option or SAR of any expiration, termination, lapse, or acceleration of such stock option or SAR. The Company shall have no obligation to register with any federal or state securities commission or agency any common stock issuable or issued under a nonqualified stock option or SAR that has been transferred by a participant under the ViralClear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Adjustments</w:t>
      </w:r>
      <w:r>
        <w:rPr>
          <w:rFonts w:ascii="Times New Roman;Times;Serif" w:hAnsi="Times New Roman;Times;Serif"/>
          <w:b w:val="false"/>
          <w:i w:val="false"/>
          <w:caps w:val="false"/>
          <w:smallCaps w:val="false"/>
          <w:sz w:val="20"/>
        </w:rPr>
        <w:t>. In the event that any dividend or other distribution (whether in the form of cash, common stock, other securities, or other property), recapitalization, stock split, reverse stock split, rights offering, reorganization, merger, consolidation, split-up, spin-off, split-off, combination, subdivision, repurchase, or exchange of common stock or other securities of ViralClear, issuance of warrants or other rights to purchase common stock or other securities of ViralClear, or other similar corporate transaction or event affects the fair value of an award, then the Committee shall adjust any or all of the following so that the fair market value of the award immediately after the transaction or event is equal to the fair market value of the award immediately prior to the transaction or event: the number of shares and type of common stock (or the securities or property) which thereafter may be made the subject of awards; the number of shares and type of common stock (or other securities or property) subject to outstanding awards; the number of shares and type of common stock (or other securities or property) specified as the annual per-participant limitation; the option price of each outstanding award; the amount, if any, ViralClear pays for forfeited shares of common stock; and the number of or SAR price of shares of common stock then subject to outstanding SARs previously granted and unexercised under the ViralClear Plan, to the end that the same proportion of ViralClear’s issued and outstanding shares of common stock in each instance shall remain subject to exercise at the same aggregate SAR price; provided, however, that the number of shares of common stock (or other securities or property) subject to any award shall always be a whole number. Notwithstanding the foregoing, no such adjustment shall be made or authorized to the extent that such adjustment would cause the ViralClear Plan or any stock option to violate Section 422 of the Code or Section 409A of the Code, and such adjustments shall be made in accordance with the rules of any securities exchange, stock market, or stock quotation system to which ViralClear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Discontinuance of the ViralClear Plan</w:t>
      </w:r>
      <w:r>
        <w:rPr>
          <w:rFonts w:ascii="Times New Roman;Times;Serif" w:hAnsi="Times New Roman;Times;Serif"/>
          <w:b w:val="false"/>
          <w:i w:val="false"/>
          <w:caps w:val="false"/>
          <w:smallCaps w:val="false"/>
          <w:sz w:val="20"/>
        </w:rPr>
        <w:t>. The ViralClear Board may at any time and from time to time, without the consent of participants, alter, amend, revise, suspend, or discontinue the ViralClear Plan in whole or in part, except that we will obtain stockholder approval of any ViralClear Plan amendment to the extent necessary and desirable to comply with the requirements relating to the administration of equity-based awards under U.S. state corporate laws, U.S. federal and state securities laws, the Code, any stock exchange or quotation system on which our common stock is listed or quoted, and the applicable laws of any foreign country or jurisdiction where awards are, or will be, granted under the ViralClear Plan. Any amendments made shall, to the extent deemed necessary or advisable by the Committee, be applicable to any outstanding awards theretofore granted under the ViralClear Plan, notwithstanding any contrary provisions contained in any award agreement. In the event of any such amendment to the ViralClear Plan, the holder of any award outstanding under the ViralClear Plan shall, upon request of the Committee and as a condition to the exercisability thereof, execute a conforming amendment in the form prescribed by the Committee to any award agreement relating thereto. Notwithstanding anything contained in the ViralClear Plan to the contrary, unless required by law, no action contemplated or permitted by the ViralClear Board or Committee for the alteration, amendment, revision, suspension, or termination of the ViralClear Plan shall adversely affect any rights of participants or obligations of ViralClear to participants with respect to any award theretofore granted under the ViralClear Plan without the consent of the affected participant.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voting securities as of March 27, 2026 by (i) each person known to us to beneficially own five percent (5%) or more of any class of our voting securities; (ii) each of our named executive officers and directors; and (iii) all of our named directors and executive officers as a group. The percentages of voting securities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 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Streamex Corp., 2431 Aloma Avenue, Suite 243, Winter Park, Florida 32792. Percentage of common stock ownership is based on 181,142,461 shares of common stock issued and outstanding and Exchangeable Shares outstanding as of March 27, 2026 (which includes 97,721,696 shares of common stock issued and outstanding and 83,420,765 Exchangeable Shares outstanding as of March 27, 2026). Percentage of Series C Preferred Stock ownership is based on 105 shares of Series C Preferred Stock issued and outstanding as of March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For the purpose of calculating the number of shares beneficially owned by a stockholder and the percentage ownership of that stockholder, shares of common stock subject to options or warrants that are currently exercisable or exercisable within sixty (60) days of March 27, 2026 by that stockholder are deemed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02"/>
        <w:gridCol w:w="60"/>
        <w:gridCol w:w="61"/>
        <w:gridCol w:w="1129"/>
        <w:gridCol w:w="369"/>
        <w:gridCol w:w="60"/>
        <w:gridCol w:w="113"/>
        <w:gridCol w:w="1065"/>
        <w:gridCol w:w="215"/>
        <w:gridCol w:w="60"/>
        <w:gridCol w:w="223"/>
        <w:gridCol w:w="967"/>
        <w:gridCol w:w="60"/>
        <w:gridCol w:w="60"/>
        <w:gridCol w:w="110"/>
        <w:gridCol w:w="1035"/>
        <w:gridCol w:w="215"/>
        <w:gridCol w:w="60"/>
        <w:gridCol w:w="68"/>
        <w:gridCol w:w="642"/>
        <w:gridCol w:w="231"/>
      </w:tblGrid>
      <w:tr>
        <w:trPr/>
        <w:tc>
          <w:tcPr>
            <w:tcW w:w="340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jc w:val="center"/>
              <w:rPr>
                <w:b/>
              </w:rPr>
            </w:pPr>
            <w:r>
              <w:rPr>
                <w:b/>
              </w:rPr>
              <w:t>Number of</w:t>
            </w:r>
          </w:p>
          <w:p>
            <w:pPr>
              <w:pStyle w:val="TableContents"/>
              <w:bidi w:val="0"/>
              <w:jc w:val="center"/>
              <w:rPr>
                <w:b/>
              </w:rPr>
            </w:pPr>
            <w:r>
              <w:rPr>
                <w:b/>
              </w:rPr>
              <w:t>Shares of</w:t>
            </w:r>
          </w:p>
          <w:p>
            <w:pPr>
              <w:pStyle w:val="TableContents"/>
              <w:bidi w:val="0"/>
              <w:jc w:val="center"/>
              <w:rPr>
                <w:b/>
              </w:rPr>
            </w:pPr>
            <w:r>
              <w:rPr>
                <w:b/>
              </w:rPr>
              <w:t>Common</w:t>
            </w:r>
          </w:p>
          <w:p>
            <w:pPr>
              <w:pStyle w:val="TableContents"/>
              <w:bidi w:val="0"/>
              <w:jc w:val="center"/>
              <w:rPr>
                <w:b/>
              </w:rPr>
            </w:pPr>
            <w:r>
              <w:rPr>
                <w:b/>
              </w:rPr>
              <w:t>Stock</w:t>
            </w:r>
          </w:p>
          <w:p>
            <w:pPr>
              <w:pStyle w:val="TableContents"/>
              <w:bidi w:val="0"/>
              <w:jc w:val="center"/>
              <w:rPr>
                <w:b/>
              </w:rPr>
            </w:pPr>
            <w:r>
              <w:rPr>
                <w:b/>
              </w:rPr>
              <w:t>Beneficially</w:t>
            </w:r>
          </w:p>
          <w:p>
            <w:pPr>
              <w:pStyle w:val="TableContents"/>
              <w:bidi w:val="0"/>
              <w:spacing w:before="0" w:after="283"/>
              <w:jc w:val="center"/>
              <w:rPr>
                <w:b/>
              </w:rPr>
            </w:pPr>
            <w:r>
              <w:rPr>
                <w:b/>
              </w:rPr>
              <w:t>Owned (1)</w:t>
            </w:r>
          </w:p>
        </w:tc>
        <w:tc>
          <w:tcPr>
            <w:tcW w:w="36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8" w:type="dxa"/>
            <w:gridSpan w:val="2"/>
            <w:tcBorders>
              <w:bottom w:val="single" w:sz="8" w:space="0" w:color="000000"/>
            </w:tcBorders>
            <w:vAlign w:val="center"/>
          </w:tcPr>
          <w:p>
            <w:pPr>
              <w:pStyle w:val="TableContents"/>
              <w:bidi w:val="0"/>
              <w:jc w:val="center"/>
              <w:rPr>
                <w:b/>
              </w:rPr>
            </w:pPr>
            <w:r>
              <w:rPr>
                <w:b/>
              </w:rPr>
              <w:t>Percentage</w:t>
            </w:r>
          </w:p>
          <w:p>
            <w:pPr>
              <w:pStyle w:val="TableContents"/>
              <w:bidi w:val="0"/>
              <w:spacing w:before="0" w:after="283"/>
              <w:jc w:val="center"/>
              <w:rPr>
                <w:b/>
              </w:rPr>
            </w:pPr>
            <w:r>
              <w:rPr>
                <w:b/>
              </w:rPr>
              <w:t>Class (1)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jc w:val="center"/>
              <w:rPr>
                <w:b/>
              </w:rPr>
            </w:pPr>
            <w:r>
              <w:rPr>
                <w:b/>
              </w:rPr>
              <w:t>Number of</w:t>
            </w:r>
          </w:p>
          <w:p>
            <w:pPr>
              <w:pStyle w:val="TableContents"/>
              <w:bidi w:val="0"/>
              <w:jc w:val="center"/>
              <w:rPr>
                <w:b/>
              </w:rPr>
            </w:pPr>
            <w:r>
              <w:rPr>
                <w:b/>
              </w:rPr>
              <w:t>Shares of</w:t>
            </w:r>
          </w:p>
          <w:p>
            <w:pPr>
              <w:pStyle w:val="TableContents"/>
              <w:bidi w:val="0"/>
              <w:jc w:val="center"/>
              <w:rPr>
                <w:b/>
              </w:rPr>
            </w:pPr>
            <w:r>
              <w:rPr>
                <w:b/>
              </w:rPr>
              <w:t>Series C</w:t>
            </w:r>
          </w:p>
          <w:p>
            <w:pPr>
              <w:pStyle w:val="TableContents"/>
              <w:bidi w:val="0"/>
              <w:jc w:val="center"/>
              <w:rPr>
                <w:b/>
              </w:rPr>
            </w:pPr>
            <w:r>
              <w:rPr>
                <w:b/>
              </w:rPr>
              <w:t>Preferred</w:t>
            </w:r>
          </w:p>
          <w:p>
            <w:pPr>
              <w:pStyle w:val="TableContents"/>
              <w:bidi w:val="0"/>
              <w:jc w:val="center"/>
              <w:rPr>
                <w:b/>
              </w:rPr>
            </w:pPr>
            <w:r>
              <w:rPr>
                <w:b/>
              </w:rPr>
              <w:t>Stock</w:t>
            </w:r>
          </w:p>
          <w:p>
            <w:pPr>
              <w:pStyle w:val="TableContents"/>
              <w:bidi w:val="0"/>
              <w:jc w:val="center"/>
              <w:rPr>
                <w:b/>
              </w:rPr>
            </w:pPr>
            <w:r>
              <w:rPr>
                <w:b/>
              </w:rPr>
              <w:t>Beneficially</w:t>
            </w:r>
          </w:p>
          <w:p>
            <w:pPr>
              <w:pStyle w:val="TableContents"/>
              <w:bidi w:val="0"/>
              <w:spacing w:before="0" w:after="283"/>
              <w:jc w:val="center"/>
              <w:rPr>
                <w:b/>
              </w:rPr>
            </w:pPr>
            <w:r>
              <w:rPr>
                <w:b/>
              </w:rP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jc w:val="center"/>
              <w:rPr>
                <w:b/>
              </w:rPr>
            </w:pPr>
            <w:r>
              <w:rPr>
                <w:b/>
              </w:rPr>
              <w:t>Percentage</w:t>
            </w:r>
          </w:p>
          <w:p>
            <w:pPr>
              <w:pStyle w:val="TableContents"/>
              <w:bidi w:val="0"/>
              <w:spacing w:before="0" w:after="283"/>
              <w:jc w:val="center"/>
              <w:rPr>
                <w:b/>
              </w:rPr>
            </w:pPr>
            <w:r>
              <w:rPr>
                <w:b/>
              </w:rPr>
              <w:t>Class (6)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jc w:val="center"/>
              <w:rPr>
                <w:b/>
              </w:rPr>
            </w:pPr>
            <w:r>
              <w:rPr>
                <w:b/>
              </w:rPr>
              <w:t>Total</w:t>
            </w:r>
          </w:p>
          <w:p>
            <w:pPr>
              <w:pStyle w:val="TableContents"/>
              <w:bidi w:val="0"/>
              <w:jc w:val="center"/>
              <w:rPr>
                <w:b/>
              </w:rPr>
            </w:pPr>
            <w:r>
              <w:rPr>
                <w:b/>
              </w:rPr>
              <w:t>Voting</w:t>
            </w:r>
          </w:p>
          <w:p>
            <w:pPr>
              <w:pStyle w:val="TableContents"/>
              <w:bidi w:val="0"/>
              <w:spacing w:before="0" w:after="283"/>
              <w:jc w:val="center"/>
              <w:rPr>
                <w:b/>
              </w:rPr>
            </w:pPr>
            <w:r>
              <w:rPr>
                <w:b/>
              </w:rPr>
              <w:t>Power</w:t>
            </w:r>
          </w:p>
        </w:tc>
        <w:tc>
          <w:tcPr>
            <w:tcW w:w="231" w:type="dxa"/>
            <w:tcBorders/>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b/>
                <w:i/>
              </w:rPr>
            </w:pPr>
            <w:r>
              <w:rPr>
                <w:b/>
                <w:i/>
              </w:rPr>
              <w:t>5% Beneficial holder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 </w:t>
            </w:r>
          </w:p>
        </w:tc>
        <w:tc>
          <w:tcPr>
            <w:tcW w:w="3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402" w:type="dxa"/>
            <w:tcBorders/>
            <w:shd w:fill="FFFFFF" w:val="clear"/>
            <w:tcMar>
              <w:bottom w:w="0" w:type="dxa"/>
            </w:tcMar>
            <w:vAlign w:val="center"/>
          </w:tcPr>
          <w:p>
            <w:pPr>
              <w:pStyle w:val="TableContents"/>
              <w:bidi w:val="0"/>
              <w:spacing w:before="0" w:after="283"/>
              <w:jc w:val="left"/>
              <w:rPr/>
            </w:pPr>
            <w:r>
              <w:rPr/>
              <w:t>Henry McPhie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21,170,700</w:t>
            </w:r>
          </w:p>
        </w:tc>
        <w:tc>
          <w:tcPr>
            <w:tcW w:w="369"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11.68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11.68</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402" w:type="dxa"/>
            <w:tcBorders/>
            <w:shd w:fill="CCEEFF" w:val="clear"/>
            <w:tcMar>
              <w:bottom w:w="0" w:type="dxa"/>
            </w:tcMar>
            <w:vAlign w:val="center"/>
          </w:tcPr>
          <w:p>
            <w:pPr>
              <w:pStyle w:val="TableContents"/>
              <w:bidi w:val="0"/>
              <w:spacing w:before="0" w:after="283"/>
              <w:jc w:val="left"/>
              <w:rPr/>
            </w:pPr>
            <w:r>
              <w:rPr/>
              <w:t>Morgan Lekstrom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20,854,921</w:t>
            </w:r>
          </w:p>
        </w:tc>
        <w:tc>
          <w:tcPr>
            <w:tcW w:w="369"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11.51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11.51</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402" w:type="dxa"/>
            <w:tcBorders/>
            <w:shd w:fill="FFFFFF" w:val="clear"/>
            <w:tcMar>
              <w:bottom w:w="0" w:type="dxa"/>
            </w:tcMar>
            <w:vAlign w:val="center"/>
          </w:tcPr>
          <w:p>
            <w:pPr>
              <w:pStyle w:val="TableContents"/>
              <w:bidi w:val="0"/>
              <w:spacing w:before="0" w:after="283"/>
              <w:jc w:val="left"/>
              <w:rPr/>
            </w:pPr>
            <w:r>
              <w:rPr/>
              <w:t>Frank Giustra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17,811,845</w:t>
            </w:r>
          </w:p>
        </w:tc>
        <w:tc>
          <w:tcPr>
            <w:tcW w:w="369"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9.83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9.83</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402" w:type="dxa"/>
            <w:tcBorders/>
            <w:shd w:fill="CCEEFF" w:val="clear"/>
            <w:tcMar>
              <w:bottom w:w="0" w:type="dxa"/>
            </w:tcMar>
            <w:vAlign w:val="center"/>
          </w:tcPr>
          <w:p>
            <w:pPr>
              <w:pStyle w:val="TableContents"/>
              <w:bidi w:val="0"/>
              <w:spacing w:before="0" w:after="283"/>
              <w:jc w:val="left"/>
              <w:rPr/>
            </w:pPr>
            <w:r>
              <w:rPr/>
              <w:t>Mathew August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10,653,913</w:t>
            </w:r>
          </w:p>
        </w:tc>
        <w:tc>
          <w:tcPr>
            <w:tcW w:w="369"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5.88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5.88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402" w:type="dxa"/>
            <w:tcBorders/>
            <w:shd w:fill="FFFFFF" w:val="clear"/>
            <w:tcMar>
              <w:bottom w:w="0" w:type="dxa"/>
            </w:tcMar>
            <w:vAlign w:val="center"/>
          </w:tcPr>
          <w:p>
            <w:pPr>
              <w:pStyle w:val="TableContents"/>
              <w:bidi w:val="0"/>
              <w:spacing w:before="0" w:after="283"/>
              <w:jc w:val="left"/>
              <w:rPr>
                <w:b/>
                <w:i/>
              </w:rPr>
            </w:pPr>
            <w:r>
              <w:rPr>
                <w:b/>
                <w:i/>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pPr>
            <w:r>
              <w:rPr/>
              <w:t>Henry McPhie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21,170,700</w:t>
            </w:r>
          </w:p>
        </w:tc>
        <w:tc>
          <w:tcPr>
            <w:tcW w:w="369"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11.68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11.68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402" w:type="dxa"/>
            <w:tcBorders/>
            <w:shd w:fill="FFFFFF" w:val="clear"/>
            <w:tcMar>
              <w:bottom w:w="0" w:type="dxa"/>
            </w:tcMar>
            <w:vAlign w:val="center"/>
          </w:tcPr>
          <w:p>
            <w:pPr>
              <w:pStyle w:val="TableContents"/>
              <w:bidi w:val="0"/>
              <w:spacing w:before="0" w:after="283"/>
              <w:jc w:val="left"/>
              <w:rPr/>
            </w:pPr>
            <w:r>
              <w:rPr/>
              <w:t>Morgan Lekstrom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20,854,921</w:t>
            </w:r>
          </w:p>
        </w:tc>
        <w:tc>
          <w:tcPr>
            <w:tcW w:w="369"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11.51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11.51</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3402" w:type="dxa"/>
            <w:tcBorders/>
            <w:shd w:fill="CCEEFF" w:val="clear"/>
            <w:tcMar>
              <w:bottom w:w="0" w:type="dxa"/>
            </w:tcMar>
            <w:vAlign w:val="center"/>
          </w:tcPr>
          <w:p>
            <w:pPr>
              <w:pStyle w:val="TableContents"/>
              <w:bidi w:val="0"/>
              <w:spacing w:before="0" w:after="283"/>
              <w:jc w:val="left"/>
              <w:rPr/>
            </w:pPr>
            <w:r>
              <w:rPr/>
              <w:t>Mitchell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1,600,005</w:t>
            </w:r>
          </w:p>
        </w:tc>
        <w:tc>
          <w:tcPr>
            <w:tcW w:w="369"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402" w:type="dxa"/>
            <w:tcBorders/>
            <w:shd w:fill="FFFFFF" w:val="clear"/>
            <w:tcMar>
              <w:bottom w:w="0" w:type="dxa"/>
            </w:tcMar>
            <w:vAlign w:val="center"/>
          </w:tcPr>
          <w:p>
            <w:pPr>
              <w:pStyle w:val="TableContents"/>
              <w:bidi w:val="0"/>
              <w:spacing w:before="0" w:after="283"/>
              <w:jc w:val="left"/>
              <w:rPr/>
            </w:pPr>
            <w:r>
              <w:rPr/>
              <w:t>Donald Browne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228,345</w:t>
            </w:r>
          </w:p>
        </w:tc>
        <w:tc>
          <w:tcPr>
            <w:tcW w:w="3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pPr>
            <w:r>
              <w:rPr/>
              <w:t>Kevin Gopaul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100,000</w:t>
            </w:r>
          </w:p>
        </w:tc>
        <w:tc>
          <w:tcPr>
            <w:tcW w:w="3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402" w:type="dxa"/>
            <w:tcBorders/>
            <w:shd w:fill="FFFFFF" w:val="clear"/>
            <w:tcMar>
              <w:bottom w:w="0" w:type="dxa"/>
            </w:tcMar>
            <w:vAlign w:val="center"/>
          </w:tcPr>
          <w:p>
            <w:pPr>
              <w:pStyle w:val="TableContents"/>
              <w:bidi w:val="0"/>
              <w:spacing w:before="0" w:after="283"/>
              <w:jc w:val="left"/>
              <w:rPr/>
            </w:pPr>
            <w:r>
              <w:rPr/>
              <w:t>Anthony Marciano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100,000</w:t>
            </w:r>
          </w:p>
        </w:tc>
        <w:tc>
          <w:tcPr>
            <w:tcW w:w="3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pPr>
            <w:r>
              <w:rPr/>
              <w:t>Shawn Matthews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100,000</w:t>
            </w:r>
          </w:p>
        </w:tc>
        <w:tc>
          <w:tcPr>
            <w:tcW w:w="3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402" w:type="dxa"/>
            <w:tcBorders/>
            <w:shd w:fill="FFFFFF" w:val="clear"/>
            <w:tcMar>
              <w:bottom w:w="0" w:type="dxa"/>
            </w:tcMar>
            <w:vAlign w:val="center"/>
          </w:tcPr>
          <w:p>
            <w:pPr>
              <w:pStyle w:val="TableContents"/>
              <w:bidi w:val="0"/>
              <w:spacing w:before="0" w:after="283"/>
              <w:jc w:val="left"/>
              <w:rPr/>
            </w:pPr>
            <w:r>
              <w:rPr/>
              <w:t>Christine Plummer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31,250</w:t>
            </w:r>
          </w:p>
        </w:tc>
        <w:tc>
          <w:tcPr>
            <w:tcW w:w="369" w:type="dxa"/>
            <w:tcBorders/>
            <w:shd w:fill="FFFFFF" w:val="clear"/>
            <w:tcMar>
              <w:bottom w:w="0" w:type="dxa"/>
            </w:tcMar>
            <w:vAlign w:val="center"/>
          </w:tcPr>
          <w:p>
            <w:pPr>
              <w:pStyle w:val="TableContents"/>
              <w:bidi w:val="0"/>
              <w:spacing w:before="0" w:after="283"/>
              <w:jc w:val="lef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b/>
              </w:rPr>
            </w:pPr>
            <w:r>
              <w:rPr>
                <w:b/>
              </w:rPr>
              <w:t>All directors and executive officers as a group of seven person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44,185,221</w:t>
            </w:r>
          </w:p>
        </w:tc>
        <w:tc>
          <w:tcPr>
            <w:tcW w:w="36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24.28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24.28</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3402" w:type="dxa"/>
            <w:tcBorders/>
            <w:shd w:fill="FFFFFF" w:val="clear"/>
            <w:tcMar>
              <w:bottom w:w="0" w:type="dxa"/>
            </w:tcMar>
            <w:vAlign w:val="center"/>
          </w:tcPr>
          <w:p>
            <w:pPr>
              <w:pStyle w:val="TableContents"/>
              <w:bidi w:val="0"/>
              <w:spacing w:before="0" w:after="283"/>
              <w:jc w:val="left"/>
              <w:rPr>
                <w:b/>
                <w:i/>
                <w:u w:val="single"/>
              </w:rPr>
            </w:pPr>
            <w:r>
              <w:rPr>
                <w:b/>
                <w:i/>
                <w:u w:val="single"/>
              </w:rPr>
              <w:t>Series C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 </w:t>
            </w:r>
          </w:p>
        </w:tc>
        <w:tc>
          <w:tcPr>
            <w:tcW w:w="36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pPr>
            <w:r>
              <w:rPr/>
              <w:t>Ray Weber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180,903</w:t>
            </w:r>
          </w:p>
        </w:tc>
        <w:tc>
          <w:tcPr>
            <w:tcW w:w="369"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42.86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402" w:type="dxa"/>
            <w:tcBorders/>
            <w:shd w:fill="FFFFFF" w:val="clear"/>
            <w:tcMar>
              <w:bottom w:w="0" w:type="dxa"/>
            </w:tcMar>
            <w:vAlign w:val="center"/>
          </w:tcPr>
          <w:p>
            <w:pPr>
              <w:pStyle w:val="TableContents"/>
              <w:bidi w:val="0"/>
              <w:spacing w:before="0" w:after="283"/>
              <w:jc w:val="left"/>
              <w:rPr/>
            </w:pPr>
            <w:r>
              <w:rPr/>
              <w:t>StoneX C/F Raymond E Weber IRA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140,905</w:t>
            </w:r>
          </w:p>
        </w:tc>
        <w:tc>
          <w:tcPr>
            <w:tcW w:w="369"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0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33.33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402" w:type="dxa"/>
            <w:tcBorders/>
            <w:shd w:fill="CCEEFF" w:val="clear"/>
            <w:tcMar>
              <w:bottom w:w="0" w:type="dxa"/>
            </w:tcMar>
            <w:vAlign w:val="center"/>
          </w:tcPr>
          <w:p>
            <w:pPr>
              <w:pStyle w:val="TableContents"/>
              <w:bidi w:val="0"/>
              <w:spacing w:before="0" w:after="283"/>
              <w:jc w:val="left"/>
              <w:rPr/>
            </w:pPr>
            <w:r>
              <w:rPr/>
              <w:t>Martin F. Sauer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100,646</w:t>
            </w:r>
          </w:p>
        </w:tc>
        <w:tc>
          <w:tcPr>
            <w:tcW w:w="369"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23.81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beneficially owned and the respective percentages of beneficial ownership of common stock assume the exercise of all options and other securities convertible into common stock beneficially owned by such person or entity currently exercisable or exercisable within 60 days of March 27, 2026, except as otherwise noted. Shares issuable pursuant to the exercise of stock options and other securities convertible into common stock exercisable within 60 days are deemed outstanding and held by the holder of such options or other securities for computing the percentage of outstanding common stock beneficially owned by such person but are not deemed outstanding for computing the percentage of outstanding common stock beneficially owned by any other person.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percentages have been calculated based on 181,142,461 shares of common stock issued and outstanding and Exchangeable Shares outstanding as of March 27, 2026 (which includes 97,721,696 shares of common stock issued and outstanding and 83,420,765 Exchangeable Shares outstanding as of March 27,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21,014,450 shares issuable upon retraction of Exchangeable Shares held by KH McPhie Holdings Inc., which is wholly owned by Mr. McPhie; Mr. McPhie has sole voting and dispositive power over such shares and (ii) 156,250 shares of common stock issuable upon the vesting of restricted stock units within 60 days of March 27,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122,500 shares of common stock purchased on the open market, (ii) 20,707,421 shares issuable upon retraction of Exchangeable Shares held by All Mine Consulting Ltd., which is wholly owned by Mr. Lekstrom; Mr. Lekstrom has sole voting and dispositive power over such shares, and (iii) 25,000 shares of common stock issuable upon the vesting of restricted stock units within 60 days of March 27,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15,510,209 shares held by Avanico Limited deemed beneficially owned by Frank Guistra, (ii) 1,278,205 shares held by Sestini &amp; Co. deemed beneficially owned by Frank Guistra, and (iii) 1,023,431 shares held by Frank Guistra In Trust. Frank Guistra has sole voting and dispositive power over all of such shares.</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2,250,000 shares of common stock and (ii) 10,417,113 shares issuable upon retraction of Exchangeable Shares.</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51,511 shares of common stock purchased on the open market, (ii) 937,383 shares issuable upon retraction of Exchangeable Shares, and (iii) 611,111 shares of common stock issuable upon the vesting of restricted stock units within 60 days of March 27,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Comprised of shares of common stock issuable upon the vesting of restricted stock units within 60 days of March 27,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percentages have been calculated based on 105 shares of Series C Preferred Stock outstanding as of March 27, 2026.</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Comprised of shares of common stock issuable upon the conversion of shares of our Series C Preferred Stock, including dividends accrued thereon as of March 27, 2026. Ray Weber may also be deemed beneficial owner of shares held by StoneX Group Inc C/F Raymond E Weber IRA. Mr. Weber’s address is 27 Zabriskie St., Jersey City, NJ 07307.</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Comprised of shares of common stock issuable upon the conversion of shares of our Series C Preferred Stock, including dividends accrued thereon as of March 27, 2026. This stockholder’s address is 27 Zabriskie St., Jersey City, NJ 07307.</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Comprised of shares of common stock issuable upon the conversion of shares of our Series C Preferred Stock, including dividends accrued thereon as of March 27, 2026. This stockholder’s address is 1028 Steeplechase Dr. Lancaster, PA 17601.</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13</w:t>
      </w:r>
      <w:r>
        <w:rPr>
          <w:rFonts w:ascii="Times New Roman;Times;Serif" w:hAnsi="Times New Roman;Times;Serif"/>
          <w:b w:val="false"/>
          <w:i w:val="false"/>
          <w:caps w:val="false"/>
          <w:smallCaps w:val="false"/>
          <w:sz w:val="20"/>
        </w:rPr>
        <w:t xml:space="preserve"> – </w:t>
      </w:r>
      <w:bookmarkStart w:id="1417" w:name="VK_009"/>
      <w:bookmarkEnd w:id="1417"/>
      <w:r>
        <w:rPr>
          <w:rFonts w:ascii="Times New Roman;Times;Serif" w:hAnsi="Times New Roman;Times;Serif"/>
          <w:b/>
          <w:i w:val="false"/>
          <w:caps w:val="false"/>
          <w:smallCaps w:val="false"/>
          <w:sz w:val="20"/>
        </w:rPr>
        <w:t>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persons are governed by our Code of Conduct and Ethics, which applies to all of our directors, officers and employees. This code covers a wide range of potential activities, including, among others, conflicts of interest, self-dealing and related party transactions. Waiver of the policies set forth in this code will only be permitted when circumstances warrant. Such waivers for directors and executive officers, or that provide a benefit to a director or executive officer, may be made only by our Board, as a whole, or the Audit Committee. Absent such a review and approval process in conformity with the applicable guidelines relating to the particular transaction under consideration, such arrangements are not permitted. All related party transactions for which disclosure is required to be provided herein were approved in accordance with our Code of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the Company and Mr. Groenewald entered into a consulting agreement pursuant to which Mr. agreed to serve as the Company’s interim chief financial officer, principal accounting officer and vice president of finance. The agreement provided for compensation at a fixed rate of $15,000 per month and reimbursement by the Company for any usual and customary business expenses incurred by Mr. Groenewald in connection with performing services pursuant to the agreement. In addition, the agreement provided for the Company to indemnify Mr. Groenewald on terms customary for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include due to related parties comprised primarily director fees and travel reimbursements. Due to related parties as of December 31, 2025 and 2024 was $66 and $19,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$11 thousand due from Henry McPhie, the Company’s new Chief Executive Officer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issued 500,000 shares of common stock to Frederick D Hrkac, a former director, in exchange for consulting services with a fair value of $353, pursuant to a consulting agreement dated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issued 500,000 shares of common stock to Anthony Amato, former CEO and former director, in exchange for services with a fair value of $353.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the Company issued 50,000 shares of common stock to Anthony Amato, former CEO and former director, in exchange for services with a fair value of $93.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2024, the company issued a promissory note to a significant shareholder for $500,000. This note was subsequently converted into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2024, Streamex Exchange issued 83,333 shares of Streamex Exchange to Morgan Lekstrom, Chairman of Streamex Exchange and now also Interim Executive Chairman of the Company, and 83,333 shares of Streamex Exchange to Karl Henry McPhie, Chief Executive Officer of Streamex Exchange and now also of the Company, valued at $0.15 for an aggregate amount of $25.0 million. On November 26, 2024, Streamex Exchange issued an aggregate of 29,449,998 shares of Streamex Exchange to the following officers and directors of Streamex Exchange: 13,749,999 shares of Streamex Exchange to Karl Henry McPhie, valued at 0.0001 for $1.4 million, 13,749,999 shares of Streamex Exchange to Morgan Lekstrom, valued at 0.0001 for $1.4 million, and 1,950,000 Streamex Shares to Sean Roosen, director of Streamex Exchange, valued at 0.025 for $48.8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the Company entered into that certain Share Purchase Agreement, with Streamex Exchange, ExchangeCo, Callco, the Shareholders, and Trustee of the trust formed pursuant to the Exchange Rights Agreement, dated May 23, 2025, between the Company, ExchangeCo, CallCo, and the Trustee, governing the rights of holders of Exchangeable Shares, pursuant to which, the Company, through ExchangeCo, on May 28, 2025, acquired the Streamex Shares from the Shareholders and in exchange for the Streamex Shares, ExchangeCo issued an aggregate of 109,070,039 Exchangeable Shares, at the Exchange Ratio for each Streamex Share in the Share Exchange. The Exchangeable Shares are exchangeable on a one-for-one basis for shares of the common stock, in accordance with the Exchange Ratio and subject to certain adjustments. The Exchangeable Shares carry rights substantially equivalent to those of the Company’s common stock. In connection with the Share Purchase Agreement and Share Exchange, Karl Henry McPhie, Morgan Lekstrom, and Mitch Williams as shareholders of Streamex, received 21,014,450, 20,707,421, and 937,382 Exchangeable Shares, respectively. The Exchangeable Shares were issued to the above on the same terms and conditions as those issued to the other Streamex Shareholders.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the Company issued an aggregate of 2,198,345 shares of its common stock to Anthony Amato, the Company’s former Chief Executive Officer and a former director, with an aggregate grant-date fair value of approximately $5.9 million. The issuances were made in connection with Mr. Amato’s resignation and separation from the Company pursuant to the terms of the Share Purchase Agreement dated May 23, 2025 and the First Amendment to his Executive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amendment to Mr. Amato’s employment agreement, all previously granted equity awards held by Mr. Amato, including vested and unvested stock options, restricted stock units, performance stock units, and other equity-based awards, were accelerated and deemed fully vested and nonforfeitable as of the effective date of the transaction. The accelerated vesting and related equity issuances were contractually agreed upon as part of the severance and separation provisions associated with Mr. Amato’s resignation in connection with the Company’s acquisition of Streamex Exchange Corporation.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2025, the Company granted 1,000,000 RSUs to Mitchell Williams, the Company’s Chief Investment Officer, with a grant-date fair value of approximately $5.1 million which 611,111 vest on April 29, 2026, 55,557 vest on May 29, 2026, 166,667 vest on August 29, 2026 and 166,665 vest on November 29, 2026, subject to his continued service, subject to continued service.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the Company entered into an employment agreement with Mr. Groenewald, effective October 1, 2025. The agreement provided that Mr. Groenewald will receive an annual base salary of $225,000 and will be eligible to receive an annual incentive package with a target value equal to 65% of base salary, payable in cash and equity, based on performance goals established by the Board. For 2025, he will be entitled to a prorated annual bonus based on the portion of the year employed. Mr. Groenewald received (i) 100,000 fully vested shares of common stock and (ii) 400,000 restricted stock units vesting in sixteen equal quarterly installments over four years, in each case subject to his continued service. The agreement also includes customary confidentiality covenants, indemnification protections, directors’ and officers’ liability insurance coverage, and clawback provisions applicable to incentive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listed on the Nasdaq Capital Market and therefore rely on the definition of independence set forth in the Nasdaq Listing Rules. Under the Nasdaq Listing Rules, a director will only qualify as an “independent director” if, in the opinion of our Board, that person does not have a relationship that would interfere with the exercise of independent judgment in carrying out the responsibilities of a director. Based upon information requested from and provided by each director concerning his background, employment, and affiliations, including family relationships, we have determined that each of Kevin Gopaul, Donald F. Browne, Anthony Marciano and Shawn Matthews has no material relationships with us that would interfere with the exercise of independent judgment and is an “independent director” as that term is defined in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14 </w:t>
      </w:r>
      <w:r>
        <w:rPr>
          <w:rFonts w:ascii="Times New Roman;Times;Serif" w:hAnsi="Times New Roman;Times;Serif"/>
          <w:b w:val="false"/>
          <w:i w:val="false"/>
          <w:caps w:val="false"/>
          <w:smallCaps w:val="false"/>
          <w:sz w:val="20"/>
        </w:rPr>
        <w:t xml:space="preserve">– </w:t>
      </w:r>
      <w:bookmarkStart w:id="1418" w:name="VK_010"/>
      <w:bookmarkEnd w:id="1418"/>
      <w:r>
        <w:rPr>
          <w:rFonts w:ascii="Times New Roman;Times;Serif" w:hAnsi="Times New Roman;Times;Serif"/>
          <w:b/>
          <w:i w:val="false"/>
          <w:caps w:val="false"/>
          <w:smallCaps w:val="false"/>
          <w:sz w:val="20"/>
        </w:rPr>
        <w:t>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to Independent Registered Public Accounting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aggregate fees billed to the Company by CBIZ CPAs P.C. (“CBIZ CPAs”) and Marcum LLP (“Marcum”) for professional services rendered for the fiscal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865"/>
        <w:gridCol w:w="60"/>
        <w:gridCol w:w="140"/>
        <w:gridCol w:w="800"/>
        <w:gridCol w:w="60"/>
        <w:gridCol w:w="60"/>
        <w:gridCol w:w="140"/>
        <w:gridCol w:w="800"/>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659,950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204,112</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659,950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204,112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This category consist of fees billed and expected to be billed for professional services rendered for the audit of the Company’s annual financial statements, review of the interim financial statements included in quarterly reports, and services that are normally provided by the Company’s independent registered public accounting firm in connection with statutory and regulatory filings, including registration statements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This category consist of fees for services that are traditionally performed by the independent registered public accounting firm, including fees billed or accrued primarily for employee benefit plan audits and other attestation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This category typically consists of professional services rendered by our independent registered public accounting firm for tax compliance and tax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 fees.</w:t>
      </w:r>
      <w:r>
        <w:rPr>
          <w:rFonts w:ascii="Times New Roman;Times;Serif" w:hAnsi="Times New Roman;Times;Serif"/>
          <w:b w:val="false"/>
          <w:i w:val="false"/>
          <w:caps w:val="false"/>
          <w:smallCaps w:val="false"/>
          <w:sz w:val="20"/>
        </w:rPr>
        <w:t xml:space="preserve"> This category consist of fees billed for products and services provided by our independent registered public accountant, other than those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2024, CBIZ CPAs acquired the attest business of Marcum, which had served as the Company’s independent registered public accounting firm for the fiscal year ended December 31, 2024. As a result of this transaction, on April 30, 2025, Marcum informed the Company that it would resign as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30, 2025, following approval by the Audit Committee of the Board of Directors, the Company engaged CBIZ CPAs as its independent registered public accounting firm. CBIZ CPAs served as the Company’s independent registered public accounting firm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of Marcum on the Company’s consolidated financial statements for the fiscal years ended December 31, 2024 and 2023 did not contain an adverse opinion or disclaimer of opinion and were not qualified or modified as to uncertainty, audit scope, or accounting principles, except for the inclusion of an explanatory paragraph regarding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2023, and through April 30, 2025, there were no disagreements with Marcum on any matter of accounting principles or practices, financial statement disclosure, or auditing scope or procedures, as defined in Item 304(a)(1)(iv) of Regulation S-K, and no reportable events as defined in Item 304(a)(1)(v) of Regulation S-K, other than the material weaknesses in internal control over financial reporting disclosed in Part II, Item 9A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2023 and through April 30, 2025, neither the Company nor anyone acting on its behalf consulted with CBIZ regarding (i) the application of accounting principles to a specific completed or contemplated transaction, (ii) the type of audit opinion that might be rendered on the Company’s consolidated financial statements, or (iii) any matter that was the subject of a disagreement or reportable event, as defined in Item 304(a)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pre-approves all auditing services and all permitted non-auditing services (including the fees and terms thereof) to be performed by our independent registered public accounting firm, except for de minimis non-audit services that are approved by the audit committee prior to the completion of the audit. The audit committee may form and delegate authority to subcommittees consisting of one or more members when appropriate, including the authority to grant pre-approvals of audit and permitted non-auditing services, provided that decisions of such subcommittee to grant pre-approval is presented to the full audit committee at its next scheduled hearing.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19" w:name="VK_011"/>
      <w:bookmarkEnd w:id="1419"/>
      <w:r>
        <w:rPr>
          <w:rFonts w:ascii="Times New Roman;Times;Serif" w:hAnsi="Times New Roman;Times;Serif"/>
          <w:b/>
          <w:i w:val="false"/>
          <w:caps w:val="false"/>
          <w:smallCaps w:val="false"/>
          <w:sz w:val="20"/>
        </w:rPr>
        <w:t>PART IV</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val="false"/>
          <w:i w:val="false"/>
          <w:caps w:val="false"/>
          <w:smallCaps w:val="false"/>
          <w:sz w:val="20"/>
        </w:rPr>
        <w:t xml:space="preserve">– </w:t>
      </w:r>
      <w:bookmarkStart w:id="1420" w:name="VK_012"/>
      <w:bookmarkEnd w:id="1420"/>
      <w:r>
        <w:rPr>
          <w:rFonts w:ascii="Times New Roman;Times;Serif" w:hAnsi="Times New Roman;Times;Serif"/>
          <w:b/>
          <w:i w:val="false"/>
          <w:caps w:val="false"/>
          <w:smallCaps w:val="false"/>
          <w:sz w:val="20"/>
        </w:rPr>
        <w:t>EXHIBITS,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report:</w:t>
      </w:r>
    </w:p>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290"/>
        <w:gridCol w:w="1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statements are included herein:</w:t>
      </w:r>
    </w:p>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9755"/>
        <w:gridCol w:w="305"/>
      </w:tblGrid>
      <w:tr>
        <w:trPr/>
        <w:tc>
          <w:tcPr>
            <w:tcW w:w="975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(CBIZ CPAs P.C. PCAOB ID 199)</w:t>
            </w:r>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5" w:type="dxa"/>
            <w:tcBorders/>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(Marcum LLP PCAOB ID 688)</w:t>
            </w:r>
          </w:p>
        </w:tc>
        <w:tc>
          <w:tcPr>
            <w:tcW w:w="3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5" w:type="dxa"/>
            <w:tcBorders/>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and 2024</w:t>
              </w:r>
            </w:hyperlink>
          </w:p>
        </w:tc>
        <w:tc>
          <w:tcPr>
            <w:tcW w:w="3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Consolidated Statement of Changes in Stockholders’ Equity (Deficit) for the Years Ended December 31, 2025, and 2024</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55" w:type="dxa"/>
            <w:tcBorders/>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3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755"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b w:val="false"/>
                  <w:i w:val="false"/>
                  <w:caps w:val="false"/>
                  <w:smallCaps w:val="false"/>
                  <w:sz w:val="20"/>
                </w:rPr>
                <w:t>Notes to Consolidated Financial Statements</w:t>
              </w:r>
            </w:hyperlink>
          </w:p>
        </w:tc>
        <w:tc>
          <w:tcPr>
            <w:tcW w:w="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w:t>
            </w:r>
          </w:p>
        </w:tc>
      </w:tr>
    </w:tbl>
    <w:p>
      <w:pPr>
        <w:pStyle w:val="TextBody"/>
        <w:bidi w:val="0"/>
        <w:spacing w:before="0" w:after="0"/>
        <w:ind w:left="0" w:right="0" w:hanging="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290"/>
        <w:gridCol w:w="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9"/>
        <w:gridCol w:w="60"/>
        <w:gridCol w:w="9376"/>
      </w:tblGrid>
      <w:tr>
        <w:trPr/>
        <w:tc>
          <w:tcPr>
            <w:tcW w:w="76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Share Purchase Agreement, dated as of May 23, 2025, by and among the Company, Streamex Exchange Corporation, BST Sub ULC, 1540875 B.C. Ltd., the shareholders of Streamex Exchange Corporation, and 1540873 B.C. Ltd., as trustee (incorporated by reference to Exhibit 2.1 to the Form 8-K filed with the SEC on May 27, 2025)</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Share Purchase Agreement dated May 27, 2025 by and between the Company, Streamex Exchange Corporation, BST Sub ULC, and 1540875 B.C. Ltd. (incorporated by reference to Exhibit 10.2 to the Form 8-K filed with the SEC on May 30, 2025)</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Form S-1 filed on July 22, 2013)</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Amended and Restated Certificate of Incorporation of the Company (incorporated by reference to Exhibit 3.2 to the Form S-1 filed on July 22, 2013)</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Second Amendment to the Amended and Restated Certificate of Incorporation of the Company (incorporated by reference to Exhibit 3.3 to the Form S-1 filed on July 22, 2013)</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Third Amendment to the Amended and Restated Certificate of Incorporation of the Company (incorporated by reference to Exhibit 3.5 to the Form S-1/A filed on January 21, 2014)</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Fourth Amendment to the Amended and Restated Certificate of Incorporation of the Company (incorporated by reference to Exhibit 3.6 to the Form S-1/A filed on March 28, 2014)</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Fifth Amendment to the Amended and Restated Certificate of Incorporation of the Company (incorporated by reference to Exhibit 3.1 to the Form 8-K filed on August 21, 2014)</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Sixth Amendment to the Amended and Restated Certificate of Incorporation of the Company (incorporated by reference to Exhibit 3.1 to the Form 8-K filed on November 25, 2016)</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Seventh Amendment to the Amended and Restated Certificate of the Company (incorporated by reference to Exhibit 3.1 to the Form 8-K filed on September 10, 2018)</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Designation of Preferences, Rights and Limitations of Series D Convertible Preferred Stock (incorporated by reference to Exhibit 3.1 to the Form 8-K filed on November 9, 2017)</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Designation of Preferences, Rights and Limitations of Series E Convertible Preferred Stock (incorporated by reference to Exhibit 3.1 to the Form 8-K filed on February 16, 2018)</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Designations of Series F Junior Participating Preferred Stock of the Company (incorporated by reference to Exhibit 3.1 to the Form 8-K filed on July 17, 2020)</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Amended and Restated Bylaws of the Company (incorporated by reference to the Exhibit 3.1 to the Form 8-K filed on September 27, 2019)</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Amendment No. 1 to Amended and Restated Bylaws of the Company (incorporated by reference to Exhibit 3.1 to the Form 8-K filed on October 22, 2019)</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Amendment No. 2 to Amended and Restated Bylaws of the Company (incorporated by reference to Exhibit 3.1 to the Form 8-K filed on December 28, 2022)</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Amendment No. 3 to the Amended and Restated Bylaws of the Company (incorporated by reference to Exhibit 3.1 to the Form 8-K filed on November 8, 2023)</w:t>
              </w:r>
            </w:hyperlink>
          </w:p>
        </w:tc>
      </w:tr>
      <w:tr>
        <w:trPr/>
        <w:tc>
          <w:tcPr>
            <w:tcW w:w="76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6"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Eighth Amendment to the Amended and Restated Certificate of Incorporation of the Company (incorporated by reference to Exhibit 3.1 to the Form 8-K filed on January 31,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shd w:fill="FFFFFF" w:val="clear"/>
                </w:rPr>
                <w:t>Form of Certificate of Designation of Special Voting Stock of BioSig Technologies, Inc.</w:t>
              </w:r>
            </w:hyperlink>
            <w:hyperlink r:id="rId21">
              <w:r>
                <w:rPr>
                  <w:rStyle w:val="InternetLink"/>
                  <w:rFonts w:ascii="Times New Roman;Times;Serif" w:hAnsi="Times New Roman;Times;Serif"/>
                  <w:b w:val="false"/>
                  <w:i w:val="false"/>
                  <w:caps w:val="false"/>
                  <w:smallCaps w:val="false"/>
                  <w:sz w:val="20"/>
                </w:rPr>
                <w:t xml:space="preserve"> (incorporated by reference to Exhibit 3.1 to the Form 8-K filed on May 27, 2025)</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Ninth Amendment to the Amended and Restated Certificate of Incorporation of the Company (incorporated by reference to Exhibit 3.1 to the Form 8-K filed on September 5, 2025)</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Tenth Amendment to the Amended and Restated Certificate of Incorporation of the Company (incorporated by reference to Exhibit 3.1 to the Form 8-K filed on September 11, 2025)</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 xml:space="preserve">Certificate of Eleventh Amendment to the Amended and Restated Certificate of Incorporation of </w:t>
              </w:r>
            </w:hyperlink>
            <w:hyperlink r:id="rId25">
              <w:r>
                <w:rPr>
                  <w:rStyle w:val="InternetLink"/>
                  <w:rFonts w:ascii="Times New Roman;Times;Serif" w:hAnsi="Times New Roman;Times;Serif"/>
                  <w:b w:val="false"/>
                  <w:i w:val="false"/>
                  <w:caps w:val="false"/>
                  <w:smallCaps w:val="false"/>
                  <w:sz w:val="20"/>
                  <w:shd w:fill="FFFFFF" w:val="clear"/>
                </w:rPr>
                <w:t xml:space="preserve">the Company </w:t>
              </w:r>
            </w:hyperlink>
            <w:hyperlink r:id="rId26">
              <w:r>
                <w:rPr>
                  <w:rStyle w:val="InternetLink"/>
                  <w:rFonts w:ascii="Times New Roman;Times;Serif" w:hAnsi="Times New Roman;Times;Serif"/>
                  <w:b w:val="false"/>
                  <w:i w:val="false"/>
                  <w:caps w:val="false"/>
                  <w:smallCaps w:val="false"/>
                  <w:sz w:val="20"/>
                </w:rPr>
                <w:t>(incorporated by reference to Exhibit 3.1 to the Form 8-K filed on November 19, 2025)</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Description of Securities.</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Underwriter Warrant (incorporated by reference to Exhibit 4.1 to the Form 8-K filed on July 6, 2021)</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Underwriter Warrant (incorporated by reference to Exhibit 4.1 to the Form 8-K filed on June 29, 2022)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Common Stock Purchase Warrant dated December 27, 2022 (incorporated by reference to Exhibit 4.1 to the Form 8-K filed on December 28, 2022)</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Common Stock Purchase Warrant dated January 13, 2023 (incorporated by reference to Exhibit 4.1 to the Form 8-K filed on January 17,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Laidlaw Warrant dated January 13, 2023 (incorporated by reference to Exhibit 4.2 to the Form 8-K filed on February 8,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Common Stock Purchase Warrant dated January 24, 2023 (incorporated by reference to Exhibit 4.1 to the Form 8-K filed on January 24,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Laidlaw Warrant dated January 24, 2023 (incorporated by reference to Exhibit 4.1 to the Form 8-K filed on February 7,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Common Stock Purchase Warrant dated January 26, 2023 (incorporated by reference to Exhibit 4.1 to the Form 8-K filed on January 26,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Common Stock Purchase Warrant dated February 8, 2023 (incorporated by reference to Exhibit 4.1 to the Form 8-K filed on February 8,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Laidlaw Warrant dated February 8, 2023 (incorporated by reference to Exhibit 4.3 to the Form 8-K filed on February 8,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Common Stock Purchase Warrant dated February 13, 2023 (incorporated by reference to Exhibit 4.1 to the Form 8-K filed on February 13,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Laidlaw Warrant dated March 16, 2023 (incorporated by reference to Exhibit 4.2 to the Form 8-K filed on March 15,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Common Stock Purchase Warrant dated March 16, 2023 (incorporated by reference to Exhibit 4.1 to the Form 8-K filed on March 15,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Laidlaw Warrant dated March 29, 2023 (incorporated by reference to Exhibit 4.2 to the Form 8-K filed on March 29,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Common Stock Purchase Warrant dated March 29, 2023 (incorporated by reference to Exhibit 4.1 to the Form 8-K filed on March 29,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Common Stock Purchase Warrant dated April 21, 2023 (incorporated by reference to Exhibit 4.1 to the Form 8-K filed on April 21,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Laidlaw Warrant dated April 21 2023 (incorporated by reference to Exhibit 4.2 to the Form 8-K filed on April 21,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Form of Laidlaw Warrant dated May 22, 2023 (incorporated by reference to Exhibit 4.2 to the Form 8-K filed on May 22,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Form of Common Stock Purchase Warrant dated July 31, 2023 (incorporated by reference to Exhibit 4.1 to the Form 8-K filed on July 31, 2023)</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Laidlaw Warrant dated July 31, 2023 (incorporated by reference to Exhibit 4.2 to the Form 8-K filed on July 31,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
        <w:gridCol w:w="60"/>
        <w:gridCol w:w="9704"/>
      </w:tblGrid>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Form of Common Stock Purchase Warrant dated September 12, 2023 (incorporated by reference to Exhibit 4.1 to the Form 8-K filed on September 12,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Laidlaw Warrant dated September 12, 2023 (incorporated by reference to Exhibit 4.2 to the Form 8-K filed on September 12,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Common Stock Purchase Warrant dated September 27, 2023 (incorporated by reference to Exhibit 4.1 to the Form 8-K filed on September 27,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Laidlaw Warrant dated September 27, 2023 (incorporated by reference to Exhibit 4.2 to the Form 8-K filed on September 27,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Common Stock Purchase Warrant dated October 16, 2023 (incorporated by reference to Exhibit 4.1 to the Form 8-K filed on October 16,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Laidlaw Warrant dated October 16, 2023 (incorporated by reference to Exhibit 4.2 to the Form 8-K filed on October 16,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Placement Agent Warrant dated November 13, 2023 (incorporated by reference to Exhibit 4.3 to the Form 8-K filed on November 13, 2023)</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Common Stock Purchase Warrant dated January 12, 2024 (incorporated by reference to Exhibit 4.1 to the Form 8-K filed on January 12,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Common Stock Purchase Warrant dated May 7, 2024 (incorporated by reference to Exhibit 4.1 to the Form 8-K filed on May 7,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Common Stock Purchase Warrant dated March 5, 2025 (incorporated by reference to Exhibit 4.1 to the Form 8-K filed on March 5, 2025)</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Note, dated March 7, 2024 (incorporated by reference to Exhibit 4.1 to the Form 8-K filed on March 12,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w:anchor="ex4-34.htm">
              <w:r>
                <w:rPr>
                  <w:rStyle w:val="InternetLink"/>
                  <w:rFonts w:ascii="Times New Roman;Times;Serif" w:hAnsi="Times New Roman;Times;Serif"/>
                  <w:b w:val="false"/>
                  <w:i w:val="false"/>
                  <w:caps w:val="false"/>
                  <w:smallCaps w:val="false"/>
                  <w:sz w:val="20"/>
                </w:rPr>
                <w:t>Common Stock Purchase Warrant of the Company, dated November 20, 2019, issued to Mayo Foundation for Medical Education and Research (EP Software Warrant)</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w:anchor="ex4-35.htm">
              <w:r>
                <w:rPr>
                  <w:rStyle w:val="InternetLink"/>
                  <w:rFonts w:ascii="Times New Roman;Times;Serif" w:hAnsi="Times New Roman;Times;Serif"/>
                  <w:b w:val="false"/>
                  <w:i w:val="false"/>
                  <w:caps w:val="false"/>
                  <w:smallCaps w:val="false"/>
                  <w:sz w:val="20"/>
                </w:rPr>
                <w:t>Common Stock Purchase Warrant of the Company, dated November 20, 2019, issued to Mayo Foundation for Medical Education and Research (Tools Warrant)</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w:anchor="ex4-36.htm">
              <w:r>
                <w:rPr>
                  <w:rStyle w:val="InternetLink"/>
                  <w:rFonts w:ascii="Times New Roman;Times;Serif" w:hAnsi="Times New Roman;Times;Serif"/>
                  <w:b w:val="false"/>
                  <w:i w:val="false"/>
                  <w:caps w:val="false"/>
                  <w:smallCaps w:val="false"/>
                  <w:sz w:val="20"/>
                </w:rPr>
                <w:t>Common Stock Purchase Warrant of ViralClear Pharmaceuticals, Inc., dated November 20, 2019, issued to Mayo Clinic Ventures</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Securities Purchase Agreement dated as of January 12, 2024 by and between the Company and certain purchasers set forth therein (incorporated by reference to Exhibit 10.1 to the Form 8-K filed on January 12,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Securities Purchase Agreement dated May 1, 2024 (incorporated by reference to Exhibit 10.1 to the Form 8-K filed on May 7,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Form of Securities Purchase Agreement dated May 30, 2024 (incorporated by reference to Exhibit 10.1 to the Form 8-K filed on May 30,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Executive Employment Agreement, dated September 11, 2024, by and between the Company and Anthony Amato (incorporated by reference to Exhibit 10.1 to our Current Report on Form 8-K filed with the SEC on September 13,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Form of Restricted Stock Award Agreement (incorporated by reference to Exhibit 10.2 to our Current Report on Form 8-K filed with the SEC on September 13,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Stock Option Agreement (incorporated by reference to Exhibit 10.3 to our Current Report on Form 8-K filed with the SEC on September 13, 2024)</w:t>
              </w:r>
            </w:hyperlink>
          </w:p>
        </w:tc>
      </w:tr>
      <w:tr>
        <w:trPr/>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4"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At The Market Offering Agreement, dated December 18, 2024, by and between the Company and H.C. Wainwright &amp; Co., LLC (incorporated by reference to Exhibit 10.1 to our Current Report on Form 8-K filed with the SEC on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2"/>
        <w:gridCol w:w="60"/>
        <w:gridCol w:w="9603"/>
      </w:tblGrid>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Equity Subscription Agreement, dated February 28, 2025, between the Company and Lind Global Fund III, LP (incorporated by reference to Exhibit 10.1 to our Current Report on Form 8-K filed with the SEC on March 3,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Securities Purchase Agreement dated as of March 5, 2025, by and between the Company and certain purchasers set forth therein (incorporated by reference to Exhibit 10.1 to the Form 8-K filed with the SEC on March 5,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Voting Agreement between the Company and a certain stockholders (incorporated by reference to Exhibit 10.1 to the Form 8-K filed with the SEC on May 27,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Exchange Rights Agreement between the Company, BST Sub ULC, 1540875 B.C. Ltd., and 1540873 B.C. Ltd. (incorporated by reference to Exhibit 10.2 to the Form 8-K filed with the SEC on May 27,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Support Agreement between the Company, BST Sub ULC, 1540875 B.C. Ltd., and 1540873 B.C. Ltd. (incorporated by reference to Exhibit 10.3 to the Form 8-K filed with the SEC on May 27,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0"/>
              <w:ind w:left="0" w:right="0" w:hanging="0"/>
              <w:jc w:val="both"/>
              <w:rPr/>
            </w:pPr>
            <w:hyperlink r:id="rId70">
              <w:r>
                <w:rPr>
                  <w:rStyle w:val="InternetLink"/>
                  <w:rFonts w:ascii="Times New Roman;Times;Serif" w:hAnsi="Times New Roman;Times;Serif"/>
                  <w:b w:val="false"/>
                  <w:i w:val="false"/>
                  <w:caps w:val="false"/>
                  <w:smallCaps w:val="false"/>
                  <w:sz w:val="20"/>
                </w:rPr>
                <w:t>First Amendment to Executive Employment Agreement between the Company and Anthony Amato (incorporated by reference to Exhibit 10.4 to the Form 8-K filed with the SEC on May 27,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0"/>
              <w:ind w:left="0" w:right="0" w:hanging="0"/>
              <w:jc w:val="both"/>
              <w:rPr/>
            </w:pPr>
            <w:hyperlink r:id="rId71">
              <w:r>
                <w:rPr>
                  <w:rStyle w:val="InternetLink"/>
                  <w:rFonts w:ascii="Times New Roman;Times;Serif" w:hAnsi="Times New Roman;Times;Serif"/>
                  <w:b w:val="false"/>
                  <w:i w:val="false"/>
                  <w:caps w:val="false"/>
                  <w:smallCaps w:val="false"/>
                  <w:sz w:val="20"/>
                </w:rPr>
                <w:t>Form of Letter Agreement between the Company and Anthony Amato (incorporated by reference to Exhibit 10.5 to the Form 8-K filed with the SEC on May 27,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Form of Finder Agreement between the Company and certain finders (incorporated by reference to Exhibit 10.1 to the Form 8-K filed with the SEC on May 30,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Form of Lock-up Letter Agreement (incorporated by reference to Exhibit 10.2 to the Form 8-K filed with the SEC on May 30,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Standby Equity Purchase Agreement dated as of July 7, 2025, between the Company and YA II PN, Ltd. (incorporated by reference to Exhibit 10.3 to the Form 8-K filed with the SEC on July 9,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shd w:fill="FFFFFF" w:val="clear"/>
                </w:rPr>
                <w:t>Amendment to Secured Convertible Debenture Purchase Agreement, dated as of August 13, 2025, between the Company and YA II PN, Ltd.</w:t>
              </w:r>
            </w:hyperlink>
            <w:hyperlink r:id="rId76">
              <w:r>
                <w:rPr>
                  <w:rStyle w:val="InternetLink"/>
                  <w:rFonts w:ascii="Times New Roman;Times;Serif" w:hAnsi="Times New Roman;Times;Serif"/>
                  <w:b w:val="false"/>
                  <w:i w:val="false"/>
                  <w:caps w:val="false"/>
                  <w:smallCaps w:val="false"/>
                  <w:sz w:val="20"/>
                </w:rPr>
                <w:t xml:space="preserve"> (incorporated by reference to Exhibit 10.2 to the Form 8-K filed with the SEC on August 13,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Underwriting Agreement, dated as of August 13, 2025, by and among the Company, Clear Street LLC and Needham &amp; Company. (incorporated by reference to Exhibit 1.1 to the Form 8-K filed with the SEC on August 15,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Incentive Plan Amendment (incorporated by reference to Exhibit 10.1 to the Form 8-K filed with the SEC on September 5,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shd w:fill="FFFFFF" w:val="clear"/>
                </w:rPr>
                <w:t>Tokenized Yield Partnership Agreement, dated as of September 8, 2025, between the</w:t>
              </w:r>
            </w:hyperlink>
            <w:hyperlink r:id="rId80">
              <w:r>
                <w:rPr>
                  <w:rStyle w:val="InternetLink"/>
                  <w:rFonts w:ascii="Times New Roman;Times;Serif" w:hAnsi="Times New Roman;Times;Serif"/>
                  <w:b w:val="false"/>
                  <w:i w:val="false"/>
                  <w:caps w:val="false"/>
                  <w:smallCaps w:val="false"/>
                  <w:sz w:val="20"/>
                </w:rPr>
                <w:t xml:space="preserve"> Company and Monetary Metals &amp; Co. (incorporated by reference to Exhibit 10.1 to the Form 8-K filed with the SEC on September 8,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Form of Convertible Debenture (incorporated by reference to Exhibit 4.1 to the Form 8-K filed with the SEC on October 29,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Amendment No. 2 to Secured Convertible Debenture Purchase Agreement, dated as of October 28, 2025, between the Company and YA II PN, Ltd. (incorporated by reference to Exhibit 10.1 to the Form 8-K filed with the SEC on October 29,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Secured Convertible Debenture, issued to YA II PN, Ltd., dated November 4, 2025 (incorporated by reference to Exhibit 4.1 to the Form 8-K filed with the SEC on November 6,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shd w:fill="FFFFFF" w:val="clear"/>
                </w:rPr>
                <w:t>Amendment No. 3 to Secured Convertible Debenture Purchase Agreement, dated as of November 4, 2025, between the Company and YA II PN, Ltd.</w:t>
              </w:r>
            </w:hyperlink>
            <w:hyperlink r:id="rId85">
              <w:r>
                <w:rPr>
                  <w:rStyle w:val="InternetLink"/>
                  <w:rFonts w:ascii="Times New Roman;Times;Serif" w:hAnsi="Times New Roman;Times;Serif"/>
                  <w:b w:val="false"/>
                  <w:i w:val="false"/>
                  <w:caps w:val="false"/>
                  <w:smallCaps w:val="false"/>
                  <w:sz w:val="20"/>
                </w:rPr>
                <w:t xml:space="preserve"> (incorporated by reference to Exhibit 4.1 to the Form 8-K filed with the SEC on November 6,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shd w:fill="FFFFFF" w:val="clear"/>
                </w:rPr>
                <w:t>Guaranty and Security Agreement, dated as of November 4, 2025, between Company, YA II PN, Ltd., and certain other persons thereto from time to time as Grantors</w:t>
              </w:r>
            </w:hyperlink>
            <w:hyperlink r:id="rId87">
              <w:r>
                <w:rPr>
                  <w:rStyle w:val="InternetLink"/>
                  <w:rFonts w:ascii="Times New Roman;Times;Serif" w:hAnsi="Times New Roman;Times;Serif"/>
                  <w:b w:val="false"/>
                  <w:i w:val="false"/>
                  <w:caps w:val="false"/>
                  <w:smallCaps w:val="false"/>
                  <w:sz w:val="20"/>
                </w:rPr>
                <w:t xml:space="preserve"> (incorporated by reference to Exhibit 10.2 to the Form 8-K filed with the SEC on November 6,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shd w:fill="FFFFFF" w:val="clear"/>
                </w:rPr>
                <w:t>Canadian Guaranty and Security Agreement, dated as of November 4, 2025, between Company, YA II PN, Ltd., and certain other persons thereto from time to time as Grantors</w:t>
              </w:r>
            </w:hyperlink>
            <w:hyperlink r:id="rId89">
              <w:r>
                <w:rPr>
                  <w:rStyle w:val="InternetLink"/>
                  <w:rFonts w:ascii="Times New Roman;Times;Serif" w:hAnsi="Times New Roman;Times;Serif"/>
                  <w:b w:val="false"/>
                  <w:i w:val="false"/>
                  <w:caps w:val="false"/>
                  <w:smallCaps w:val="false"/>
                  <w:sz w:val="20"/>
                </w:rPr>
                <w:t xml:space="preserve"> (incorporated by reference to Exhibit 10.3 to the Form 8-K filed with the SEC on November 6,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shd w:fill="FFFFFF" w:val="clear"/>
                </w:rPr>
                <w:t>Registration Rights Agreement, dated as of November 4, 2025, by and between Company and YA II PN, Ltd.</w:t>
              </w:r>
            </w:hyperlink>
            <w:hyperlink r:id="rId91">
              <w:r>
                <w:rPr>
                  <w:rStyle w:val="InternetLink"/>
                  <w:rFonts w:ascii="Times New Roman;Times;Serif" w:hAnsi="Times New Roman;Times;Serif"/>
                  <w:b w:val="false"/>
                  <w:i w:val="false"/>
                  <w:caps w:val="false"/>
                  <w:smallCaps w:val="false"/>
                  <w:sz w:val="20"/>
                </w:rPr>
                <w:t xml:space="preserve"> (incorporated by reference to Exhibit 10.4 to the Form 8-K filed with the SEC on November 6, 2025)</w:t>
              </w:r>
            </w:hyperlink>
          </w:p>
        </w:tc>
      </w:tr>
      <w:tr>
        <w:trPr/>
        <w:tc>
          <w:tcPr>
            <w:tcW w:w="5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3" w:type="dxa"/>
            <w:tcBorders/>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shd w:fill="FFFFFF" w:val="clear"/>
                </w:rPr>
                <w:t>Form of Lock-up Agreement (</w:t>
              </w:r>
            </w:hyperlink>
            <w:hyperlink r:id="rId93">
              <w:r>
                <w:rPr>
                  <w:rStyle w:val="InternetLink"/>
                  <w:rFonts w:ascii="Times New Roman;Times;Serif" w:hAnsi="Times New Roman;Times;Serif"/>
                  <w:b w:val="false"/>
                  <w:i w:val="false"/>
                  <w:caps w:val="false"/>
                  <w:smallCaps w:val="false"/>
                  <w:sz w:val="20"/>
                </w:rPr>
                <w:t>incorporated by reference to Exhibit 10.5 to the Form 8-K filed with the SEC on November 6,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
        <w:gridCol w:w="60"/>
        <w:gridCol w:w="9442"/>
      </w:tblGrid>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shd w:fill="FFFFFF" w:val="clear"/>
                </w:rPr>
                <w:t>Offer Letter to Kevin Gopaul, dated November 17, 2025</w:t>
              </w:r>
            </w:hyperlink>
            <w:hyperlink r:id="rId95">
              <w:r>
                <w:rPr>
                  <w:rStyle w:val="InternetLink"/>
                  <w:rFonts w:ascii="Times New Roman;Times;Serif" w:hAnsi="Times New Roman;Times;Serif"/>
                  <w:b w:val="false"/>
                  <w:i w:val="false"/>
                  <w:caps w:val="false"/>
                  <w:smallCaps w:val="false"/>
                  <w:sz w:val="20"/>
                </w:rPr>
                <w:t xml:space="preserve"> (incorporated by reference to Exhibit 10.5 to the Form 8-K filed with the SEC on November 6, 2025)</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0"/>
              <w:ind w:left="0" w:right="0" w:hanging="0"/>
              <w:jc w:val="both"/>
              <w:rPr/>
            </w:pPr>
            <w:hyperlink r:id="rId96">
              <w:r>
                <w:rPr>
                  <w:rStyle w:val="InternetLink"/>
                  <w:rFonts w:ascii="Times New Roman;Times;Serif" w:hAnsi="Times New Roman;Times;Serif"/>
                  <w:b w:val="false"/>
                  <w:i w:val="false"/>
                  <w:caps w:val="false"/>
                  <w:smallCaps w:val="false"/>
                  <w:sz w:val="20"/>
                  <w:shd w:fill="FFFFFF" w:val="clear"/>
                </w:rPr>
                <w:t>Employment Agreement between Streamex Corp. and Karl Henry McPhie, dated November 18, 2025 (incorporated by reference to Exhibit 10.1 to the Form 8-K filed with the SEC on November 19, 2025)</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shd w:fill="FFFFFF" w:val="clear"/>
                </w:rPr>
                <w:t>Employment Agreement between Streamex Corp. and Ferdinand Groenewald, dated November 18, 2025</w:t>
              </w:r>
            </w:hyperlink>
            <w:hyperlink r:id="rId98">
              <w:r>
                <w:rPr>
                  <w:rStyle w:val="InternetLink"/>
                  <w:rFonts w:ascii="Times New Roman;Times;Serif" w:hAnsi="Times New Roman;Times;Serif"/>
                  <w:b w:val="false"/>
                  <w:i w:val="false"/>
                  <w:caps w:val="false"/>
                  <w:smallCaps w:val="false"/>
                  <w:sz w:val="20"/>
                </w:rPr>
                <w:t xml:space="preserve"> (incorporated by reference to Exhibit 10.2 to the Form 8-K filed with the SEC on November 19, 2025)</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99">
              <w:r>
                <w:rPr>
                  <w:rStyle w:val="InternetLink"/>
                  <w:rFonts w:ascii="Times New Roman;Times;Serif" w:hAnsi="Times New Roman;Times;Serif"/>
                  <w:b w:val="false"/>
                  <w:i w:val="false"/>
                  <w:caps w:val="false"/>
                  <w:smallCaps w:val="false"/>
                  <w:sz w:val="20"/>
                  <w:shd w:fill="FFFFFF" w:val="clear"/>
                </w:rPr>
                <w:t>Employment Agreement between Streamex Corp. and Ferdinand Groenewald, dated November 18, 2025</w:t>
              </w:r>
            </w:hyperlink>
            <w:hyperlink r:id="rId100">
              <w:r>
                <w:rPr>
                  <w:rStyle w:val="InternetLink"/>
                  <w:rFonts w:ascii="Times New Roman;Times;Serif" w:hAnsi="Times New Roman;Times;Serif"/>
                  <w:b w:val="false"/>
                  <w:i w:val="false"/>
                  <w:caps w:val="false"/>
                  <w:smallCaps w:val="false"/>
                  <w:sz w:val="20"/>
                </w:rPr>
                <w:t xml:space="preserve"> (incorporated by reference to Exhibit 10.3 to the Form 8-K filed with the SEC on November 19, 2025)</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01">
              <w:r>
                <w:rPr>
                  <w:rStyle w:val="InternetLink"/>
                  <w:rFonts w:ascii="Times New Roman;Times;Serif" w:hAnsi="Times New Roman;Times;Serif"/>
                  <w:b w:val="false"/>
                  <w:i w:val="false"/>
                  <w:caps w:val="false"/>
                  <w:smallCaps w:val="false"/>
                  <w:sz w:val="20"/>
                  <w:shd w:fill="FFFFFF" w:val="clear"/>
                </w:rPr>
                <w:t>Chairman of the Board Agreement between Streamex Corp., dated November 18, 2025</w:t>
              </w:r>
            </w:hyperlink>
            <w:hyperlink r:id="rId102">
              <w:r>
                <w:rPr>
                  <w:rStyle w:val="InternetLink"/>
                  <w:rFonts w:ascii="Times New Roman;Times;Serif" w:hAnsi="Times New Roman;Times;Serif"/>
                  <w:b w:val="false"/>
                  <w:i w:val="false"/>
                  <w:caps w:val="false"/>
                  <w:smallCaps w:val="false"/>
                  <w:sz w:val="20"/>
                </w:rPr>
                <w:t xml:space="preserve"> (incorporated by reference to Exhibit 10.3 to the Form 8-K filed with the SEC on November 19, 2025) </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03">
              <w:r>
                <w:rPr>
                  <w:rStyle w:val="InternetLink"/>
                  <w:rFonts w:ascii="Times New Roman;Times;Serif" w:hAnsi="Times New Roman;Times;Serif"/>
                  <w:b w:val="false"/>
                  <w:i w:val="false"/>
                  <w:caps w:val="false"/>
                  <w:smallCaps w:val="false"/>
                  <w:sz w:val="20"/>
                  <w:shd w:fill="FFFFFF" w:val="clear"/>
                </w:rPr>
                <w:t>Share Purchase Agreement dated December 11, 2025 between Streamex Corp and Terra Capital Natural Resources Fund Pty Ltd.</w:t>
              </w:r>
            </w:hyperlink>
            <w:hyperlink r:id="rId104">
              <w:r>
                <w:rPr>
                  <w:rStyle w:val="InternetLink"/>
                  <w:rFonts w:ascii="Times New Roman;Times;Serif" w:hAnsi="Times New Roman;Times;Serif"/>
                  <w:b w:val="false"/>
                  <w:i w:val="false"/>
                  <w:caps w:val="false"/>
                  <w:smallCaps w:val="false"/>
                  <w:sz w:val="20"/>
                </w:rPr>
                <w:t xml:space="preserve"> (incorporated by reference to Exhibit 10.3 to the Form 8-K filed with the SEC on December 16, 2025) </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05">
              <w:r>
                <w:rPr>
                  <w:rStyle w:val="InternetLink"/>
                  <w:rFonts w:ascii="Times New Roman;Times;Serif" w:hAnsi="Times New Roman;Times;Serif"/>
                  <w:b w:val="false"/>
                  <w:i w:val="false"/>
                  <w:caps w:val="false"/>
                  <w:smallCaps w:val="false"/>
                  <w:sz w:val="20"/>
                </w:rPr>
                <w:t>Underwriting Agreement, dated as of August 13, 2025, by and among the Company and Needham &amp; Company (incorporated by reference to Exhibit 1.1 to the Form 8-K filed with the SEC on January 27, 2026)</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06">
              <w:r>
                <w:rPr>
                  <w:rStyle w:val="InternetLink"/>
                  <w:rFonts w:ascii="Times New Roman;Times;Serif" w:hAnsi="Times New Roman;Times;Serif"/>
                  <w:b w:val="false"/>
                  <w:i w:val="false"/>
                  <w:caps w:val="false"/>
                  <w:smallCaps w:val="false"/>
                  <w:sz w:val="20"/>
                  <w:shd w:fill="FFFFFF" w:val="clear"/>
                </w:rPr>
                <w:t>Offer Letter to Anthony Marciano, dated February 3, 2026</w:t>
              </w:r>
            </w:hyperlink>
            <w:hyperlink r:id="rId107">
              <w:r>
                <w:rPr>
                  <w:rStyle w:val="InternetLink"/>
                  <w:rFonts w:ascii="Times New Roman;Times;Serif" w:hAnsi="Times New Roman;Times;Serif"/>
                  <w:b w:val="false"/>
                  <w:i w:val="false"/>
                  <w:caps w:val="false"/>
                  <w:smallCaps w:val="false"/>
                  <w:sz w:val="20"/>
                </w:rPr>
                <w:t xml:space="preserve"> (incorporated by reference to Exhibit 10.1 to the Form 8-K filed with the SEC on February 9, 2026).</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08">
              <w:r>
                <w:rPr>
                  <w:rStyle w:val="InternetLink"/>
                  <w:rFonts w:ascii="Times New Roman;Times;Serif" w:hAnsi="Times New Roman;Times;Serif"/>
                  <w:b w:val="false"/>
                  <w:i w:val="false"/>
                  <w:caps w:val="false"/>
                  <w:smallCaps w:val="false"/>
                  <w:sz w:val="20"/>
                  <w:shd w:fill="FFFFFF" w:val="clear"/>
                </w:rPr>
                <w:t>Offer Letter to Shawn Matthews, dated March 3, 2026</w:t>
              </w:r>
            </w:hyperlink>
            <w:hyperlink r:id="rId109">
              <w:r>
                <w:rPr>
                  <w:rStyle w:val="InternetLink"/>
                  <w:rFonts w:ascii="Times New Roman;Times;Serif" w:hAnsi="Times New Roman;Times;Serif"/>
                  <w:b w:val="false"/>
                  <w:i w:val="false"/>
                  <w:caps w:val="false"/>
                  <w:smallCaps w:val="false"/>
                  <w:sz w:val="20"/>
                </w:rPr>
                <w:t xml:space="preserve"> (incorporated by reference to Exhibit 10.1 to the Form 8-K filed with the SEC on March 6, 2026).</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10">
              <w:r>
                <w:rPr>
                  <w:rStyle w:val="InternetLink"/>
                  <w:rFonts w:ascii="Times New Roman;Times;Serif" w:hAnsi="Times New Roman;Times;Serif"/>
                  <w:b w:val="false"/>
                  <w:i w:val="false"/>
                  <w:caps w:val="false"/>
                  <w:smallCaps w:val="false"/>
                  <w:sz w:val="20"/>
                </w:rPr>
                <w:t xml:space="preserve">Letter from Marcum LLP dated April 30, 2025 (incorporated by reference to Exhibit 16 to the Form 8-K filed with the SEC on April 30, 2025) </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11">
              <w:r>
                <w:rPr>
                  <w:rStyle w:val="InternetLink"/>
                  <w:rFonts w:ascii="Times New Roman;Times;Serif" w:hAnsi="Times New Roman;Times;Serif"/>
                  <w:b w:val="false"/>
                  <w:i w:val="false"/>
                  <w:caps w:val="false"/>
                  <w:smallCaps w:val="false"/>
                  <w:sz w:val="20"/>
                </w:rPr>
                <w:t xml:space="preserve">Insider Trading Policy (incorporated by reference to Exhibit 19.1 to the Form 10-K filed with the SEC on April 15, 2025) </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Subsidiary List</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CBIZ CPAs P.C.</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23-3.htm">
              <w:r>
                <w:rPr>
                  <w:rStyle w:val="InternetLink"/>
                  <w:rFonts w:ascii="Times New Roman;Times;Serif" w:hAnsi="Times New Roman;Times;Serif"/>
                  <w:b w:val="false"/>
                  <w:i w:val="false"/>
                  <w:caps w:val="false"/>
                  <w:smallCaps w:val="false"/>
                  <w:sz w:val="20"/>
                </w:rPr>
                <w:t>Consent of Marcum LLP</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31-01.htm">
              <w:r>
                <w:rPr>
                  <w:rStyle w:val="InternetLink"/>
                  <w:rFonts w:ascii="Times New Roman;Times;Serif" w:hAnsi="Times New Roman;Times;Serif"/>
                  <w:b w:val="false"/>
                  <w:i w:val="false"/>
                  <w:caps w:val="false"/>
                  <w:smallCaps w:val="false"/>
                  <w:sz w:val="20"/>
                </w:rPr>
                <w:t>Certification of Chief Executive Officer and Chief Financial Officer pursuant to Exchange Act Rules 13a-14(a) and 15d-14(a), as adopted pursuant to Section 302 of the Sarbanes-Oxley Act of 2002.</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31-02.htm">
              <w:r>
                <w:rPr>
                  <w:rStyle w:val="InternetLink"/>
                  <w:rFonts w:ascii="Times New Roman;Times;Serif" w:hAnsi="Times New Roman;Times;Serif"/>
                  <w:b w:val="false"/>
                  <w:i w:val="false"/>
                  <w:caps w:val="false"/>
                  <w:smallCaps w:val="false"/>
                  <w:sz w:val="20"/>
                </w:rPr>
                <w:t>Certification of Chief Executive Officer and Chief Financial Officer pursuant to Exchange Act Rules 13a-14(a) and 15d-14(a), as adopted pursuant to Section 302 of the Sarbanes-Oxley Act of 2002.</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32-0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w:anchor="ex32-0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pPr>
            <w:hyperlink r:id="rId112">
              <w:r>
                <w:rPr>
                  <w:rStyle w:val="InternetLink"/>
                  <w:rFonts w:ascii="Times New Roman;Times;Serif" w:hAnsi="Times New Roman;Times;Serif"/>
                  <w:b w:val="false"/>
                  <w:i w:val="false"/>
                  <w:caps w:val="false"/>
                  <w:smallCaps w:val="false"/>
                  <w:sz w:val="20"/>
                </w:rPr>
                <w:t>Compensation Recovery Policy adopted November 6, 2023 (incorporated by reference to Exhibit 97 to our 10-K filed on April 16, 2024)</w:t>
              </w:r>
            </w:hyperlink>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SCH*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CAL*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Calculation Linkbase Document</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LAB*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Labels Linkbase Document</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PRE*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Presentation Linkbase Document</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DEF*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16 </w:t>
      </w:r>
      <w:r>
        <w:rPr>
          <w:rFonts w:ascii="Times New Roman;Times;Serif" w:hAnsi="Times New Roman;Times;Serif"/>
          <w:b w:val="false"/>
          <w:i w:val="false"/>
          <w:caps w:val="false"/>
          <w:smallCaps w:val="false"/>
          <w:sz w:val="20"/>
        </w:rPr>
        <w:t xml:space="preserve">– </w:t>
      </w:r>
      <w:bookmarkStart w:id="1421" w:name="VK_013"/>
      <w:bookmarkEnd w:id="1421"/>
      <w:r>
        <w:rPr>
          <w:rFonts w:ascii="Times New Roman;Times;Serif" w:hAnsi="Times New Roman;Times;Serif"/>
          <w:b/>
          <w:i w:val="false"/>
          <w:caps w:val="false"/>
          <w:smallCaps w:val="false"/>
          <w:sz w:val="20"/>
        </w:rPr>
        <w:t>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22" w:name="VK_014"/>
      <w:bookmarkEnd w:id="142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Annual Report on Form 10-K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7725" w:type="dxa"/>
        <w:jc w:val="left"/>
        <w:tblInd w:w="0" w:type="dxa"/>
        <w:tblLayout w:type="fixed"/>
        <w:tblCellMar>
          <w:top w:w="0" w:type="dxa"/>
          <w:left w:w="0" w:type="dxa"/>
          <w:bottom w:w="0" w:type="dxa"/>
          <w:right w:w="0" w:type="dxa"/>
        </w:tblCellMar>
      </w:tblPr>
      <w:tblGrid>
        <w:gridCol w:w="1850"/>
        <w:gridCol w:w="320"/>
        <w:gridCol w:w="5555"/>
      </w:tblGrid>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March 31, 2026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each of Henry McPhie and Christine Plummer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substitutes or substitute,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1865"/>
        <w:gridCol w:w="60"/>
        <w:gridCol w:w="3890"/>
        <w:gridCol w:w="60"/>
        <w:gridCol w:w="132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Henry McPhie</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Henry McPhie</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Christine Plummer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 Morgan Lekstrom</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Executive Chairman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Lekstrom</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Donald F. Browne</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F. Browne</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Gopaul</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Gopaul</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Marciano</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Marciano</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Shawn Matthews</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Shawn Matthews </w:t>
            </w:r>
          </w:p>
        </w:tc>
        <w:tc>
          <w:tcPr>
            <w:tcW w:w="60" w:type="dxa"/>
            <w:tcBorders/>
            <w:tcMar>
              <w:bottom w:w="0" w:type="dxa"/>
            </w:tcMar>
            <w:vAlign w:val="center"/>
          </w:tcPr>
          <w:p>
            <w:pPr>
              <w:pStyle w:val="TableContents"/>
              <w:bidi w:val="0"/>
              <w:spacing w:before="0" w:after="283"/>
              <w:jc w:val="left"/>
              <w:rPr/>
            </w:pPr>
            <w:r>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423" w:name="ex4-1.htm"/>
      <w:bookmarkStart w:id="1424" w:name="ksex41"/>
      <w:bookmarkEnd w:id="1423"/>
      <w:bookmarkEnd w:id="14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OF SECURITIES REGISTERED PURSUANT TO SECTION 12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March 27, 2026, Streamex Corp. (formerly BioSig Technologies, Inc.), a Delaware corporation (the “Company”), has one class of securities registered pursuant to Section 12(b) of the Securities Exchange Act of 1934, as amended: shares of the Company’s common stock, par value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foregoing description is intended as a summary and is qualified in its entirety by reference to our amended and restated certificate of incorporation,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Amended and Restated Certificate of Incorporation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the by-laws, as amended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as currently in effect, copies of which are filed as exhibits to this Annual Report on Form 10-K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501,000,000 shares of capital stock, par value $0.001 per share, of which 500,000,000 are shares of common stock and 1,000,000 are shares of “blank check” preferred stock, of which 200 are authorized as Series A Preferred Stock, 600 are authorized as Series B Preferred Stock, 4,200 are authorized as Series C Preferred Stock, 1,400 are authorized as Series D Preferred Stock, 1,000 are authorized as Series E Preferred Stock and 200,000 are authorized for Series F Preferred Stock. As of March 27, 2026, there were 97,721,696 shares of common stock issued and outstanding, 105 shares of Series C Preferred Stock issued and outstanding and no shares of our Series A Convertible Preferred Stock, Series B Convertible Preferred Stock, Series D Convertible Preferred Stock, Series E Convertible Preferred Stock, or Series F Junior Participating Preferred Stock issued and outstanding.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 In connection with the exchangeable share structure described below, the Company designated one share of Special Voting Preferred Stock that is held by a trustee to facilitate voting rights associated with the exchangeable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are entitled to one vote per share on all matters to be voted upon by stockholders. Holders of our common stock are entitled to receive ratably dividends as may be declared by the board of directors out of funds legally available for that purpose. We have not paid any dividends since our inception, and we presently anticipate that all earnings, if any, will be retained for development of our business. Even if we are permitted to pay cash dividends in the future, any future disposition of dividends will be at the discretion of our board of directors and will depend upon, among other things, our future earnings, operating and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the holder to one vote, either in person or by proxy, at meetings of stockholders. The holders are not permitted to vote their shares cumulatively. Accordingly, the stockholders of our common stock who hold, in the aggregate, more than fifty percent of the total voting rights can elect all of our directors and, in such event, the holders of the remaining minority shares will not be able to elect any of such directors. The vote of the holders of a majority of the issued and outstanding shares of common stock entitled to vote thereon is sufficient to authorize, affirm, ratify or consent to such act or action, except as otherwise provided by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rights or other subscription rights, conversion rights, redemption or sinking fund provisions. Subject to the rights of the holders of our preferred stock, upon our liquidation, dissolution or winding up, the holders of our common stock will be entitled to share ratably in the net assets legally available for distribution to stockholders after the payment of all of our debts and other liabilities. There are no provisions in our Amended and Restated Certificate of Incorporation or our By-laws that would prevent or delay a change in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Securities Transfer Corporation. The transfer agent’s address is 2901 N Dallas Parkway Suite 380 Plano, Texas 75093. Our common stock is listed on the Nasdaq Capital Market under the symbol “STEX” (effective September 2025, following our name change to Streamex Corp.). Prior to that, our common stock traded under the symbol “BSGM” on the Nasdaq Stock Market LLC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Exchangeable Shares and Special Voting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2026, there were outstanding 83,420,765 exchangeable shares of BST Sub ULC, a wholly owned subsidiary of the Company. The exchangeable shares are exchangeable for an equal number of shares of the Company’s common stock and carry rights that are intended to be substantially equivalent to the Company’s common stock, including rights to dividends, liquidation preferences, and voting. Voting rights associated with the exchangeable shares are provided through the Company’s Special Voting Preferred Stock, which was issued to a trustee. The Special Voting Preferred Stock does not have economic rights, including rights to dividends or participation in liquidation, other than a nominal liquidation preference of $1.00, and is not convertible into common stock. The sole purpose of the Special Voting Preferred Stock is to provide voting rights to holders of exchangeable shares on an equivalent basis with holders of the Company’s common stock; the trustee is entitled to cast a number of votes equal to the aggregate number of votes that the holders of exchangeable shares would be entitled to cast if such exchangeable shares were exchanged for shares of the Company’s common stock. The voting rights associated with the Special Voting Preferred Stock terminate automatically upon the exchange or cancellation of all outstanding exchangeable shares, at which time the Special Voting Preferred Stock is automatically cancelled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subject to any limitations prescribed by law, without further vote or action by the stockholders, to issue from time to time shares of preferred stock in one or more series. Each such series of preferred stock shall have such number of shares, designations, preferences, voting powers, qualifications, and special or relative rights or privileges as shall be determined by the board of directors, which may include, among others, dividend rights, voting rights, liquidation preferences, conversion rights and preemptive rights. Issuance of preferred stock by our board of directors may result in such shares having dividend and/or liquidation preferences senior to the rights of the holders of our common stock and could dilute the voting rights of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the Series C Preferred Stock is entitled to a nine percent (9%) annual dividend on the $1,000 per share stated value. Unless the Series C Preferred Stock is converted into shares of common stock, the dividends shall accrue and be payable in cash or, subject to the satisfaction of certain conditions, in pay-in-kind shares. Such cumulative dividends are payable quarterly, commencing on September 30, 2013, and on each conversion date. The terms of the Series C Preferred Stock were amended on March 27, 2014, and August 15, 2014. The description herein reflects such amended terms.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8"/>
        <w:gridCol w:w="9812"/>
      </w:tblGrid>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or announce our intention not to, deliver common stock share certificates upon conversion of our Series C Preferred Stock prior to the seventh trading day after such shares are required to be delivered,</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for any reason to pay in full the amount of cash due pursuant to our failure to deliver common stock share certificates upon conversion of our Series C Preferred Stock within five calendar days after notice therefor is delivered,</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have available a sufficient number of authorized and unreserved shares of common stock to issue upon a conversion of our Series C Preferred Stock,</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observe or perform any other covenant, agreement or warranty contained in, or otherwise commit any breach of our obligations under, the securities purchase agreement, the registration rights agreement, the certificate of designation or the warrants entered into pursuant to the private placement transaction for our Series C Preferred Stock, which failure or breach could have a material adverse effect, and such failure or breach is not cured within 30 calendar days after written notice was delivered,</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change of control transaction,</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for bankruptcy or a similar arrangement or are adjudicated insolvent, or</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judgment, including an arbitration award against us, of greater than $100,000, and such judgment remains unvacated, unbonded or unstayed for a period of 45 calendar days, the holders of the Series C Preferred Stock are entitled, among other rights, to redeem their shares of Series C Preferred Stock at any time for greater than their stated value or increase the dividend rate on their shares of Series C Preferred Stock to 18%.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winding up of affairs, the holders of the Series C Preferred Stock will be entitled to a liquidation preference of the stated value plus any accrued but unpaid dividends or any other fees due the holder. The shares of the Series C Preferred Stock rank senior to the rights of the common stock and all other securities exercisable or convertible into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Series C Preferred Stock is entitled at any time to convert any whole or partial number of shares of Series C Preferred Stock into shares of our common stock at a price of $0.5302 per share, subject to the beneficial ownership limitation described below. The Series C Preferred Stock is subject to full ratchet anti-dilution price protection upon the issuance of equity or equity-linked securities at an effective common stock purchase price of less than $0.5302 per share as well as other customary anti-dilution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issue any equity or equity-linked securities with terms more favorable than those of the Series C Preferred Stock, any holder of the Series C Preferred Stock may request to amend the terms of such holder’s Series C Preferred Stock to be equivalent to the terms of such issued equity or equity-linked securities, subject to certain exempted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C Preferred Stock vote together with the holders of our common stock on an as-converted basis but may not vote the Series C Preferred Stock in excess of the beneficial ownership limitation of the Series C Preferred Stock. The beneficial ownership limitation is 4.99% of our then outstanding shares of common stock following such conversion or exercise, which may be increased to up to 9.99% of our then outstanding shares of common stock following such conversion or exercise upon the request of an individual holder. The beneficial ownership limitation is determined on an individual holder basis, such that the as-converted number of shares of one holder is not included in the shares outstanding when calculating the limitation for a different holder. In addition, absent the approval of holders representing at least 67% of the outstanding shares of the Series C Preferred Stock, we may not (i) increase the number of authorized shares of preferred stock, (ii) amend our charter documents, including the terms of the Series C Preferred Stock, in any manner adverse to the holders of the Series C Preferred Stock, including authorizing or creating any class of stock ranking senior to, or otherwise pari passu with, the shares of Series C Preferred Stock as to dividends, redemption or distribution of assets upon a liquidation.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Anti-Takeover Law and Provisions of our Amended and Restated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 in general, prohibits a business combination between a corporation and an interested stockholder within three years of the time such stockholder became an interested stockholder,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such time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subsequent to such time, the business combination is approved by the board of directors and authorized by the affirmative vote at a stockholders’ meeting of at least 66 2/3% of the outstanding voting stock that is not owned by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“business combination” is defined to include, among other transactions between an interested stockholder and a corporation or any direct or indirect majority owned subsidiary thereof: a merger or consolidation; a sale, lease, exchange, mortgage, pledge, transfer or other disposition (including as part of a dissolution) of assets having an aggregate market value equal to 10% or more of either the aggregate market value of all assets of the corporation on a consolidated basis or the aggregate market value of all the outstanding stock of the corporation; certain transactions that would result in the issuance or transfer by the corporation of any of its stock to the interested stockholder; certain transactions that would increase the interested stockholder’s proportionate share ownership of the stock of any class or series of the corporation or such subsidiary; and any receipt by the interested stockholder of the benefit of any loans, advances, guarantees, pledges or other financial benefits provided by or through the corporation or any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 The term “owner” is broadly defined to include any person that individually, with or through that person’s affiliates or associates, among other things, beneficially owns the stock, or has the right to acquire the stock, whether or not the right is immediately exercisable, under any agreement or understanding or upon the exercise of warrants or options or otherwise or has the right to vote the stock under any agreement or understanding, or has an agreement or understanding with the beneficial owner of the stock for the purpose of acquiring, holding, voting or disposing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in Section 203 do not apply to corporations that have elected, in the manner provided in Section 203, not to be subject to Section 203 of the Delaware General Corporation Law or, with certain exceptions, which do not have a class of voting stock that is listed on a national securities exchange or held of record by more than 2,000 stockholders. Our Amended and Restated Certificate of Incorporation and By-laws do not opt out of Section 203.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Amended and Restated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shares of common stock entitled to vote in any election of directors to elect all of the directors standing for election, if they should so choose);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our stockholders may be called only by our board of directors, chairman, chief executive officer, president or secretary;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advance notice provisions with which a stockholder who wishes to nominate a director or propose other business to be considered at a stockholder meeting must comply.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145 of the Delaware General Corporation Law, a corporation has the power to indemnify its directors and officers against expenses, judgments, fines and amounts paid in settlement actually and reasonably incurred in connection with a third-party action, other than a derivative action, and against expenses actually and reasonably incurred in the defense or settlement of a derivative action, provided that there is a determination that the individual acted in good faith and in a manner reasonably believed to be in or not opposed to the best interests of the corporation and, with respect to any criminal action or proceeding, had no reasonable cause to believe the individual’s conduct was unlawful. Such determination will be made, in the case of an individual who is a director or officer at the time of such determination:</w:t>
      </w:r>
    </w:p>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majority of the disinterested directors, even though less than a quorum;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committee of such directors designated by a majority vote of such directors, even though less than a quorum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disinterested directors, or if such directors so direct, by independent legal counsel;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majority vote of the stockholders, at a meeting at which a quorum is present.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court approval, however, no indemnification may be made in respect of any derivative action in which such individual is adjudged liable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requires indemnification of directors and officers for expenses relating to a successful defense on the merits or otherwise of a derivative or third-party action.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permits a corporation to advance expenses relating to the defense of any proceeding to directors and officers contingent upon such individuals’ commitment to repay any advances unless it is determined ultimately that such individuals are entitled to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the rights to indemnification and advancement of expenses provided in the law are non-exclusive, in that, subject to public policy issues, indemnification and advancement of expenses beyond that provided by statute may be provided by law, agreement, vote of stockholders, disinterested directors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Personal Liability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(the “DGCL”) provides that a corporation’s certificate of incorporation may include a provision eliminating or limiting the personal liability of a director to the corporation or its stockholders for monetary damages for breach of fiduciary duty as a director, provided that such provision may not eliminate or limit liability for (i) any breach of the director’s duty of loyalty to the corporation or its stockholders, (ii) acts or omissions not in good faith or which involve intentional misconduct or a knowing violation of law, (iii) unlawful payments of dividends or unlawful stock repurchases or redemptions, or (iv)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our directors will not be personally liable to us or any of our stockholders for monetary damages for breach of fiduciary duty as a director to the fullest extent permitted by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Commission Position on 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may be permitted to our directors, officers and persons controlling us, we have been advised that it is the Securities and Exchange Commission’s opinion that such indemnification is against public policy as expressed in the Securities Act of 1933, as amended, and is, therefore, unenforceable.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1425" w:name="ex4-34.htm"/>
      <w:bookmarkStart w:id="1426" w:name="ksex434"/>
      <w:bookmarkEnd w:id="1425"/>
      <w:bookmarkEnd w:id="14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 BIOSIG TECHNOLOGIES, INC.</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060"/>
        <w:gridCol w:w="4895"/>
      </w:tblGrid>
      <w:tr>
        <w:trPr/>
        <w:tc>
          <w:tcPr>
            <w:tcW w:w="2060" w:type="dxa"/>
            <w:tcBorders/>
            <w:vAlign w:val="center"/>
          </w:tcPr>
          <w:p>
            <w:pPr>
              <w:pStyle w:val="TableContents"/>
              <w:bidi w:val="0"/>
              <w:spacing w:before="0" w:after="283"/>
              <w:jc w:val="both"/>
              <w:rPr>
                <w:sz w:val="20"/>
              </w:rPr>
            </w:pPr>
            <w:r>
              <w:rPr>
                <w:sz w:val="20"/>
              </w:rPr>
              <w:t>Warrant Shares: 284,455</w:t>
            </w:r>
          </w:p>
        </w:tc>
        <w:tc>
          <w:tcPr>
            <w:tcW w:w="4895" w:type="dxa"/>
            <w:tcBorders/>
            <w:vAlign w:val="center"/>
          </w:tcPr>
          <w:p>
            <w:pPr>
              <w:pStyle w:val="TableContents"/>
              <w:bidi w:val="0"/>
              <w:spacing w:before="0" w:after="283"/>
              <w:jc w:val="right"/>
              <w:rPr/>
            </w:pPr>
            <w:r>
              <w:rPr/>
              <w:t xml:space="preserve">                        </w:t>
            </w:r>
            <w:r>
              <w:rPr>
                <w:sz w:val="20"/>
              </w:rPr>
              <w:t>Initial Exercise Date: November 20, 2019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79" w:right="6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Mayo Foundation for Medical Education and Research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the close of business on November 20, 2027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BioSig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284,455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common stock of the Company,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2"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6"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7" w:right="127"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3"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current transfer agent of the Company,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as of any particular date: (a) the volume weighted average of the closing sales prices of the Common Stock for such day on all domestic securities exchanges on which the Common Stock may at the time be listed; (b) if there have been no sales of the Common Stock on any such exchange on any such day, the average of the highest bid and lowest asked prices for the Common Stock on all such exchanges at the end of such day; (c) if on any such day the Common Stock is not listed on a domestic securities exchange, the closing sales price of the Common Stock as quoted on the OTCQB tier of the OTC Markets Group, Inc. or similar quotation system or association for such day; or (d) if there have been no sales of the Common Stock on the OTCQB tier of the OTC Markets Group, Inc. or similar quotation system or association on such day, the average of the highest bid and lowest asked prices for the Common Stock quoted on the OTCQB tier of the OTC Markets Group, Inc. or similar quotation system or association at the end of such day; in each case, averaged over twenty (20) consecutive Trading Days ending on the Trading Day immediately prior to the day as of which “VWAP” is being determined. If at any time the Common Stock is not listed on any domestic securities exchange or quoted on the OTCQB tier of the OTC Markets Group, Inc. or similar quotation system or association, the “VWAP” of the Common Stock shall be the fair market value per share as determined by the Board of Directors of the Company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.pdf copy via e-mail attachment) of the Notice of Exercise Form annexed hereto. Within five (5) Trading Days following the date of exercise as aforesaid, the Holder shall deliver the aggregate Exercise Price for the shares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00"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specified in the applicable Notice of Exercise by wire transfer or cashier’s check drawn on a United States bank unless the cashless exercise procedure specified in Section 2(c) below is specified in the applicable Notice of Exercise.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the Common Stock under this Warrant shall be </w:t>
      </w:r>
      <w:r>
        <w:rPr>
          <w:rFonts w:ascii="Times New Roman;Times;Serif" w:hAnsi="Times New Roman;Times;Serif"/>
          <w:b/>
          <w:i w:val="false"/>
          <w:caps w:val="false"/>
          <w:smallCaps w:val="false"/>
          <w:sz w:val="20"/>
        </w:rPr>
        <w:t>$6.16</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any time commencing after the Initial Exercise Date, there is no effective registration statement registering, or no current prospectus available for the resale of all of the Warrant Shares that may be acquired pursuant to this Warrant by the Holder, then this Warrant may also be exercised at the Holder’s election,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VWAP on the Trading Day immediately preceding the date on which Holder elects to exercise this Warrant by means of a “cashless exercise,” as set forth in the applicable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unless the Holder notifies the Company otherwise, if there is no effective registration statement registering, or no current prospectus available for, the resale of the Warrant Shares by the Holder, then this Warrant shall be automatically exercised via cashless exercise pursuant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2" w:firstLine="4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Certificates Upon Exercise</w:t>
      </w:r>
      <w:r>
        <w:rPr>
          <w:rFonts w:ascii="Times New Roman;Times;Serif" w:hAnsi="Times New Roman;Times;Serif"/>
          <w:b w:val="false"/>
          <w:i w:val="false"/>
          <w:caps w:val="false"/>
          <w:smallCaps w:val="false"/>
          <w:sz w:val="20"/>
        </w:rPr>
        <w:t>. Certificates for shares purchased hereunder shall be transmitted by the Transfer Agent to the Holder by crediting the account of the Holder’s prime broker with The Depository Trust Company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Rule 144 is available, and otherwise by physical delivery to the address specified by the Holder in the Notice of Exercise by the date that is five (5) Trading Days after the latest of (x) the delivery to the Company of the Notice of Exercise, (y) surrender of this Warrant (if required) and (z) payment of the aggregate Exercise Price as set forth above (including by cashless exercise, if permitted)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certificates evidencing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certificates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4" w:firstLine="5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6" w:firstLine="4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a certificate or the certificates representing the Warrant Shares pursuant to Section 2(d)(i) by the Warrant Share Delivery Date, then the Holder will have the right, at any time prior to issuance of such Warrant Shares,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2" w:firstLine="4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Certificates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a certificate or the certificates representing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40" w:right="69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 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3" w:firstLine="5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1" w:firstLine="4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6"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w:t>
      </w:r>
    </w:p>
    <w:p>
      <w:pPr>
        <w:pStyle w:val="TextBody"/>
        <w:bidi w:val="0"/>
        <w:spacing w:before="0" w:after="0"/>
        <w:ind w:left="1400" w:right="693"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or other entity of any kind),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3(b)</w:t>
      </w:r>
    </w:p>
    <w:p>
      <w:pPr>
        <w:pStyle w:val="TextBody"/>
        <w:bidi w:val="0"/>
        <w:spacing w:before="0" w:after="0"/>
        <w:ind w:left="1400" w:right="694"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1400" w:right="694" w:firstLine="720"/>
        <w:jc w:val="both"/>
        <w:rPr>
          <w:caps w:val="false"/>
          <w:smallCaps w:val="false"/>
        </w:rPr>
      </w:pPr>
      <w:r>
        <w:rPr>
          <w:caps w:val="false"/>
          <w:smallCaps w:val="false"/>
        </w:rPr>
        <w:t> </w:t>
      </w:r>
    </w:p>
    <w:p>
      <w:pPr>
        <w:pStyle w:val="TextBody"/>
        <w:bidi w:val="0"/>
        <w:spacing w:before="0" w:after="0"/>
        <w:ind w:left="1400"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1" w:firstLine="60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4" w:firstLine="5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w:t>
      </w:r>
    </w:p>
    <w:p>
      <w:pPr>
        <w:pStyle w:val="TextBody"/>
        <w:bidi w:val="0"/>
        <w:spacing w:before="0" w:after="0"/>
        <w:ind w:left="2839" w:right="694" w:firstLine="542"/>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w:t>
      </w:r>
    </w:p>
    <w:p>
      <w:pPr>
        <w:pStyle w:val="TextBody"/>
        <w:bidi w:val="0"/>
        <w:spacing w:before="0" w:after="0"/>
        <w:ind w:left="1400" w:right="694"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19" w:right="69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19"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19"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w:t>
      </w:r>
    </w:p>
    <w:p>
      <w:pPr>
        <w:pStyle w:val="TextBody"/>
        <w:bidi w:val="0"/>
        <w:spacing w:before="0" w:after="0"/>
        <w:ind w:left="2119" w:right="694"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or unless exercised in a cashless exercise when Rule 144 is available,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54 Wilton Road, 2nd Floor, Westport, CT 06880 Attention: Steve Chaussy, email address: schaussy@biosigtech.com,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date of transmission, if such notice or communication is delivered via facsimile or email at the facsimile number or email address set forth in this Section prior to 5:30 p.m. (New York City time)</w:t>
      </w:r>
    </w:p>
    <w:p>
      <w:pPr>
        <w:pStyle w:val="TextBody"/>
        <w:bidi w:val="0"/>
        <w:spacing w:before="0" w:after="0"/>
        <w:ind w:left="1399" w:right="69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date, (ii) the next Trading Day after the date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8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86"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392"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777"/>
        <w:gridCol w:w="2062"/>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b/>
                <w:sz w:val="20"/>
              </w:rPr>
            </w:pPr>
            <w:r>
              <w:rPr>
                <w:b/>
                <w:sz w:val="20"/>
              </w:rPr>
              <w:t>BIOSIG TECHNOLOGIES, INC.</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sz w:val="20"/>
              </w:rPr>
            </w:pPr>
            <w:r>
              <w:rPr>
                <w:sz w:val="20"/>
              </w:rPr>
              <w:t xml:space="preserve">By: </w:t>
            </w:r>
          </w:p>
        </w:tc>
        <w:tc>
          <w:tcPr>
            <w:tcW w:w="2062"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Ken Londoner</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sz w:val="20"/>
              </w:rPr>
            </w:pPr>
            <w:r>
              <w:rPr>
                <w:sz w:val="20"/>
              </w:rPr>
              <w:t>Name:</w:t>
            </w:r>
          </w:p>
        </w:tc>
        <w:tc>
          <w:tcPr>
            <w:tcW w:w="2062" w:type="dxa"/>
            <w:tcBorders/>
            <w:vAlign w:val="center"/>
          </w:tcPr>
          <w:p>
            <w:pPr>
              <w:pStyle w:val="TableContents"/>
              <w:bidi w:val="0"/>
              <w:spacing w:before="0" w:after="283"/>
              <w:jc w:val="left"/>
              <w:rPr>
                <w:sz w:val="20"/>
              </w:rPr>
            </w:pPr>
            <w:r>
              <w:rPr>
                <w:sz w:val="20"/>
              </w:rPr>
              <w:t>Ken Londoner</w:t>
            </w:r>
          </w:p>
        </w:tc>
      </w:tr>
      <w:tr>
        <w:trPr/>
        <w:tc>
          <w:tcPr>
            <w:tcW w:w="75"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sz w:val="20"/>
              </w:rPr>
            </w:pPr>
            <w:r>
              <w:rPr>
                <w:sz w:val="20"/>
              </w:rPr>
              <w:t xml:space="preserve">Title: </w:t>
            </w:r>
          </w:p>
        </w:tc>
        <w:tc>
          <w:tcPr>
            <w:tcW w:w="2062" w:type="dxa"/>
            <w:tcBorders/>
            <w:vAlign w:val="center"/>
          </w:tcPr>
          <w:p>
            <w:pPr>
              <w:pStyle w:val="TableContents"/>
              <w:bidi w:val="0"/>
              <w:spacing w:before="0" w:after="283"/>
              <w:jc w:val="left"/>
              <w:rPr>
                <w:sz w:val="20"/>
              </w:rPr>
            </w:pPr>
            <w:r>
              <w:rPr>
                <w:sz w:val="20"/>
              </w:rPr>
              <w:t>CEO</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8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BIOSIG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7"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104" w:right="117" w:firstLine="1439"/>
        <w:jc w:val="both"/>
        <w:rPr>
          <w:caps w:val="false"/>
          <w:smallCaps w:val="false"/>
        </w:rPr>
      </w:pPr>
      <w:r>
        <w:rPr>
          <w:caps w:val="false"/>
          <w:smallCaps w:val="false"/>
        </w:rPr>
        <w:t> </w:t>
      </w:r>
    </w:p>
    <w:p>
      <w:pPr>
        <w:pStyle w:val="TextBody"/>
        <w:bidi w:val="0"/>
        <w:spacing w:before="0" w:after="0"/>
        <w:ind w:left="104" w:right="117"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104" w:right="117" w:firstLine="1439"/>
        <w:jc w:val="both"/>
        <w:rPr>
          <w:caps w:val="false"/>
          <w:smallCaps w:val="false"/>
        </w:rPr>
      </w:pPr>
      <w:r>
        <w:rPr>
          <w:caps w:val="false"/>
          <w:smallCaps w:val="false"/>
        </w:rPr>
        <w:t> </w:t>
      </w:r>
    </w:p>
    <w:p>
      <w:pPr>
        <w:pStyle w:val="TextBody"/>
        <w:bidi w:val="0"/>
        <w:spacing w:before="0" w:after="0"/>
        <w:ind w:left="1903"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03"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9"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a certificate or certificates representing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9" w:firstLine="1980"/>
        <w:jc w:val="both"/>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 or by physical delivery of a certificate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9" w:firstLine="1980"/>
        <w:jc w:val="both"/>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9" w:firstLine="1980"/>
        <w:jc w:val="both"/>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9" w:firstLine="1980"/>
        <w:jc w:val="both"/>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105" w:right="368" w:hanging="0"/>
        <w:jc w:val="left"/>
        <w:rPr>
          <w:caps w:val="false"/>
          <w:smallCaps w:val="false"/>
        </w:rPr>
      </w:pPr>
      <w:r>
        <w:rPr>
          <w:caps w:val="false"/>
          <w:smallCaps w:val="false"/>
        </w:rPr>
        <w:t> </w:t>
      </w:r>
    </w:p>
    <w:p>
      <w:pPr>
        <w:pStyle w:val="TextBody"/>
        <w:bidi w:val="0"/>
        <w:spacing w:before="0" w:after="0"/>
        <w:ind w:left="105" w:right="3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Investing Entity: </w:t>
      </w:r>
      <w:r>
        <w:rPr>
          <w:rFonts w:ascii="Times New Roman;Times;Serif" w:hAnsi="Times New Roman;Times;Serif"/>
          <w:b w:val="false"/>
          <w:i w:val="false"/>
          <w:caps w:val="false"/>
          <w:smallCaps w:val="false"/>
          <w:sz w:val="20"/>
          <w:u w:val="single"/>
        </w:rPr>
        <w:t>                                                                                                      </w:t>
      </w:r>
    </w:p>
    <w:p>
      <w:pPr>
        <w:pStyle w:val="TextBody"/>
        <w:bidi w:val="0"/>
        <w:spacing w:before="0" w:after="0"/>
        <w:ind w:left="105" w:right="3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w:t>
      </w:r>
    </w:p>
    <w:p>
      <w:pPr>
        <w:pStyle w:val="TextBody"/>
        <w:bidi w:val="0"/>
        <w:spacing w:before="0" w:after="0"/>
        <w:ind w:left="105" w:right="3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Authorized Signatory: </w:t>
      </w:r>
      <w:r>
        <w:rPr>
          <w:rFonts w:ascii="Times New Roman;Times;Serif" w:hAnsi="Times New Roman;Times;Serif"/>
          <w:b w:val="false"/>
          <w:i w:val="false"/>
          <w:caps w:val="false"/>
          <w:smallCaps w:val="false"/>
          <w:sz w:val="20"/>
          <w:u w:val="single"/>
        </w:rPr>
        <w:t>                                                                                              </w:t>
      </w:r>
    </w:p>
    <w:p>
      <w:pPr>
        <w:pStyle w:val="TextBody"/>
        <w:bidi w:val="0"/>
        <w:spacing w:before="0" w:after="0"/>
        <w:ind w:left="105" w:right="3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Authorized Signatory: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spacing w:before="0" w:after="0"/>
        <w:ind w:left="105" w:right="3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8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365" w:right="3382" w:firstLine="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 this form and supply required information. Do not use this form to exercise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2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all of or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shares of the foregoing Warrant and all rights evidenced thereby are hereby assigned to</w:t>
      </w:r>
    </w:p>
    <w:p>
      <w:pPr>
        <w:pStyle w:val="TextBody"/>
        <w:bidi w:val="0"/>
        <w:spacing w:before="0" w:after="0"/>
        <w:ind w:left="104" w:right="120" w:firstLine="144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u w:val="single"/>
        </w:rPr>
        <w:t xml:space="preserve">                                                                                                </w:t>
      </w:r>
      <w:r>
        <w:rPr>
          <w:caps w:val="false"/>
          <w:smallCaps w:val="false"/>
        </w:rPr>
        <w:t> </w:t>
      </w:r>
      <w:r>
        <w:rPr>
          <w:rFonts w:ascii="Times New Roman;Times;Serif" w:hAnsi="Times New Roman;Times;Serif"/>
          <w:b w:val="false"/>
          <w:i w:val="false"/>
          <w:caps w:val="false"/>
          <w:smallCaps w:val="false"/>
          <w:sz w:val="20"/>
        </w:rPr>
        <w:t>whose address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4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spacing w:before="0" w:after="0"/>
        <w:ind w:left="2264" w:right="0" w:hanging="0"/>
        <w:jc w:val="left"/>
        <w:rPr>
          <w:caps w:val="false"/>
          <w:smallCaps w:val="false"/>
        </w:rPr>
      </w:pPr>
      <w:r>
        <w:rPr>
          <w:caps w:val="false"/>
          <w:smallCaps w:val="false"/>
        </w:rPr>
        <w:t> </w:t>
      </w:r>
    </w:p>
    <w:p>
      <w:pPr>
        <w:pStyle w:val="TextBody"/>
        <w:bidi w:val="0"/>
        <w:spacing w:before="0" w:after="0"/>
        <w:ind w:left="2264" w:right="0" w:firstLine="1620"/>
        <w:jc w:val="left"/>
        <w:rPr>
          <w:caps w:val="false"/>
          <w:smallCaps w:val="false"/>
          <w:u w:val="single"/>
        </w:rPr>
      </w:pPr>
      <w:r>
        <w:rPr>
          <w:caps w:val="false"/>
          <w:smallCaps w:val="false"/>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4" w:right="1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pStyle w:val="TextBody"/>
        <w:bidi w:val="0"/>
        <w:spacing w:before="0" w:after="0"/>
        <w:ind w:left="104" w:right="117"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4" w:right="117" w:hanging="0"/>
        <w:jc w:val="both"/>
        <w:rPr>
          <w:caps w:val="false"/>
          <w:smallCaps w:val="false"/>
        </w:rPr>
      </w:pPr>
      <w:r>
        <w:rPr>
          <w:caps w:val="false"/>
          <w:smallCaps w:val="false"/>
        </w:rPr>
        <w:t> </w:t>
      </w:r>
    </w:p>
    <w:p>
      <w:pPr>
        <w:pStyle w:val="TextBody"/>
        <w:bidi w:val="0"/>
        <w:jc w:val="left"/>
        <w:rPr/>
      </w:pPr>
      <w:bookmarkStart w:id="1427" w:name="ex4-35.htm"/>
      <w:bookmarkStart w:id="1428" w:name="ksex435"/>
      <w:bookmarkEnd w:id="1427"/>
      <w:bookmarkEnd w:id="14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9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 BIOSIG TECHNOLOGIES, INC.</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060"/>
        <w:gridCol w:w="3455"/>
      </w:tblGrid>
      <w:tr>
        <w:trPr/>
        <w:tc>
          <w:tcPr>
            <w:tcW w:w="2060" w:type="dxa"/>
            <w:tcBorders/>
            <w:vAlign w:val="center"/>
          </w:tcPr>
          <w:p>
            <w:pPr>
              <w:pStyle w:val="TableContents"/>
              <w:bidi w:val="0"/>
              <w:spacing w:before="0" w:after="283"/>
              <w:jc w:val="left"/>
              <w:rPr>
                <w:sz w:val="20"/>
              </w:rPr>
            </w:pPr>
            <w:r>
              <w:rPr>
                <w:sz w:val="20"/>
              </w:rPr>
              <w:t>Warrant Shares: 284,455</w:t>
            </w:r>
          </w:p>
        </w:tc>
        <w:tc>
          <w:tcPr>
            <w:tcW w:w="3455" w:type="dxa"/>
            <w:tcBorders/>
            <w:vAlign w:val="center"/>
          </w:tcPr>
          <w:p>
            <w:pPr>
              <w:pStyle w:val="TableContents"/>
              <w:bidi w:val="0"/>
              <w:spacing w:before="0" w:after="283"/>
              <w:jc w:val="right"/>
              <w:rPr>
                <w:sz w:val="20"/>
              </w:rPr>
            </w:pPr>
            <w:r>
              <w:rPr>
                <w:sz w:val="20"/>
              </w:rPr>
              <w:t>Initial Exercise Date: November 20, 2019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79" w:right="6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Mayo Foundation for Medical Education and Research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the close of business on November 20, 2027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BioSig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284,455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common stock of the Company,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2"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5"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6"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3"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3"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current transfer agent of the Company,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80" w:right="694"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as of any particular date: (a) the volume weighted average of the closing sales prices of the Common Stock for such day on all domestic securities exchanges on which the Common Stock may at the time be listed; (b) if there have been no sales of the Common Stock on any such exchange on any such day, the average of the highest bid and lowest asked prices for the Common Stock on all such exchanges at the end of such day; (c) if on any such day the Common Stock is not listed on a domestic securities exchange, the closing sales price of the Common Stock as quoted on the OTCQB tier of the OTC Markets Group, Inc. or similar quotation system or association for such day; or (d) if there have been no sales of the Common Stock on the OTCQB tier of the OTC Markets Group, Inc. or similar quotation system or association on such day, the average of the highest bid and lowest asked prices for the Common Stock quoted on the OTCQB tier of the OTC Markets Group, Inc. or similar quotation system or association at the end of such day; in each case, averaged over twenty (20) consecutive Trading Days ending on the Trading Day immediately prior to the day as of which “VWAP” is being determined. If at any time the Common Stock is not listed on any domestic securities exchange or quoted on the OTCQB tier of the OTC Markets Group, Inc. or similar quotation system or association, the “VWAP” of the Common Stock shall be the fair market value per share as determined by the Board of Directors of the Company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.pdf copy via e-mail attachment) of the Notice of Exercise Form annexed hereto. Within five (5) Trading Days following the date of exercise as aforesaid, the Holder shall deliver the aggregate Exercise Price for the shares</w:t>
      </w:r>
    </w:p>
    <w:p>
      <w:pPr>
        <w:pStyle w:val="TextBody"/>
        <w:bidi w:val="0"/>
        <w:spacing w:before="0" w:after="0"/>
        <w:ind w:left="1399" w:right="693"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specified in the applicable Notice of Exercise by wire transfer or cashier’s check drawn on a United States bank unless the cashless exercise procedure specified in Section 2(c) below is specified in the applicable Notice of Exercise.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the Common Stock under this Warrant shall be </w:t>
      </w:r>
      <w:r>
        <w:rPr>
          <w:rFonts w:ascii="Times New Roman;Times;Serif" w:hAnsi="Times New Roman;Times;Serif"/>
          <w:b/>
          <w:i w:val="false"/>
          <w:caps w:val="false"/>
          <w:smallCaps w:val="false"/>
          <w:sz w:val="20"/>
        </w:rPr>
        <w:t>$6.16</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any time commencing after the Initial Exercise Date, there is no effective registration statement registering, or no current prospectus available for the resale of all of the Warrant Shares that may be acquired pursuant to this Warrant by the Holder, then this Warrant may also be exercised at the Holder’s election,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0" w:right="69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VWAP on the Trading Day immediately preceding the date on which Holder elects to exercise this Warrant by means of a “cashless exercise,” as set forth in the applicable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0"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unless the Holder notifies the Company otherwise, if there is no effective registration statement registering, or no current prospectus available for, the resale of the Warrant Shares by the Holder, then this Warrant shall be automatically exercised via cashless exercise pursuant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4" w:firstLine="5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Certificates Upon Exercise</w:t>
      </w:r>
      <w:r>
        <w:rPr>
          <w:rFonts w:ascii="Times New Roman;Times;Serif" w:hAnsi="Times New Roman;Times;Serif"/>
          <w:b w:val="false"/>
          <w:i w:val="false"/>
          <w:caps w:val="false"/>
          <w:smallCaps w:val="false"/>
          <w:sz w:val="20"/>
        </w:rPr>
        <w:t>. Certificates for shares purchased hereunder shall be transmitted by the Transfer Agent to the Holder by crediting the account of the Holder’s prime broker with The Depository Trust Company through</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Deposit or Withdrawal at Custodian system (“DWAC”) if the Company is then a participant in such system and either (A) there is an effective registration statement permitting the issuance of the Warrant Shares to or resale of the Warrant Shares by the Holder or (B) this Warrant is being exercised via cashless exercise and Rule 144 is available, and otherwise by physical delivery to the address specified by the Holder in the Notice of Exercise by the date that is five (5) Trading Days after the latest of (x) the delivery to the Company of the Notice of Exercise, (y) surrender of this Warrant (if required) and (z) payment of the aggregate Exercise Price as set forth above (including by cashless exercise, if permitted) (such date,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certificates evidencing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certificates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4" w:firstLine="5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6" w:firstLine="4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a certificate or the certificates representing the Warrant Shares pursuant to Section 2(d)(i) by the Warrant Share Delivery Date, then the Holder will have the right, at any time prior to issuance of such Warrant Shares,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3" w:firstLine="4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Certificates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a certificate or the certificates representing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w:t>
      </w:r>
    </w:p>
    <w:p>
      <w:pPr>
        <w:pStyle w:val="TextBody"/>
        <w:bidi w:val="0"/>
        <w:spacing w:before="0" w:after="0"/>
        <w:ind w:left="2840" w:right="693" w:firstLine="494"/>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 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3" w:firstLine="55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1" w:firstLine="4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6"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w:t>
      </w:r>
    </w:p>
    <w:p>
      <w:pPr>
        <w:pStyle w:val="TextBody"/>
        <w:bidi w:val="0"/>
        <w:spacing w:before="0" w:after="0"/>
        <w:ind w:left="1400" w:right="693"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or other entity of any kind),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3(b)</w:t>
      </w:r>
    </w:p>
    <w:p>
      <w:pPr>
        <w:pStyle w:val="TextBody"/>
        <w:bidi w:val="0"/>
        <w:spacing w:before="0" w:after="0"/>
        <w:ind w:left="1400" w:right="694"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1" w:firstLine="60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0" w:right="692" w:firstLine="5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w:t>
      </w:r>
    </w:p>
    <w:p>
      <w:pPr>
        <w:pStyle w:val="TextBody"/>
        <w:bidi w:val="0"/>
        <w:spacing w:before="0" w:after="0"/>
        <w:ind w:left="2840" w:right="692" w:firstLine="542"/>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39" w:right="6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w:t>
      </w:r>
    </w:p>
    <w:p>
      <w:pPr>
        <w:pStyle w:val="TextBody"/>
        <w:bidi w:val="0"/>
        <w:spacing w:before="0" w:after="0"/>
        <w:ind w:left="1400" w:right="694"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6"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19" w:right="6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19"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19"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w:t>
      </w:r>
    </w:p>
    <w:p>
      <w:pPr>
        <w:pStyle w:val="TextBody"/>
        <w:bidi w:val="0"/>
        <w:spacing w:before="0" w:after="0"/>
        <w:ind w:left="2119" w:right="694"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or unless exercised in a cashless exercise when Rule 144 is available,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54 Wilton Road, 2nd Floor, Westport, CT 06880 Attention: Steve Chaussy, email address: schaussy@biosigtech.com,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date of transmission, if such notice or communication is delivered via facsimile or email at the facsimile number or email address set forth in this Section prior to 5:30 p.m. (New York City time)</w:t>
      </w:r>
    </w:p>
    <w:p>
      <w:pPr>
        <w:pStyle w:val="TextBody"/>
        <w:bidi w:val="0"/>
        <w:spacing w:before="0" w:after="0"/>
        <w:ind w:left="1399" w:right="695"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99" w:right="6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date, (ii) the next Trading Day after the date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8"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0" w:right="6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8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168" w:right="3186"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144" w:right="144" w:hanging="0"/>
        <w:jc w:val="left"/>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805"/>
        <w:gridCol w:w="2034"/>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b/>
                <w:sz w:val="20"/>
              </w:rPr>
            </w:pPr>
            <w:r>
              <w:rPr>
                <w:b/>
                <w:sz w:val="20"/>
              </w:rPr>
              <w:t>BIOSIG TECHNOLOGIES, INC.</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sz w:val="20"/>
              </w:rPr>
            </w:pPr>
            <w:r>
              <w:rPr>
                <w:sz w:val="20"/>
              </w:rPr>
              <w:t>By:</w:t>
            </w:r>
          </w:p>
        </w:tc>
        <w:tc>
          <w:tcPr>
            <w:tcW w:w="2034"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Ken Londoner </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sz w:val="20"/>
              </w:rPr>
            </w:pPr>
            <w:r>
              <w:rPr>
                <w:sz w:val="20"/>
              </w:rPr>
              <w:t xml:space="preserve">Name: </w:t>
            </w:r>
          </w:p>
        </w:tc>
        <w:tc>
          <w:tcPr>
            <w:tcW w:w="2034" w:type="dxa"/>
            <w:tcBorders/>
            <w:vAlign w:val="center"/>
          </w:tcPr>
          <w:p>
            <w:pPr>
              <w:pStyle w:val="TableContents"/>
              <w:bidi w:val="0"/>
              <w:spacing w:before="0" w:after="283"/>
              <w:jc w:val="left"/>
              <w:rPr>
                <w:sz w:val="20"/>
              </w:rPr>
            </w:pPr>
            <w:r>
              <w:rPr>
                <w:sz w:val="20"/>
              </w:rPr>
              <w:t>Ken Londoner</w:t>
            </w:r>
          </w:p>
        </w:tc>
      </w:tr>
      <w:tr>
        <w:trPr/>
        <w:tc>
          <w:tcPr>
            <w:tcW w:w="75"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sz w:val="20"/>
              </w:rPr>
            </w:pPr>
            <w:r>
              <w:rPr>
                <w:sz w:val="20"/>
              </w:rPr>
              <w:t>Title:</w:t>
            </w:r>
          </w:p>
        </w:tc>
        <w:tc>
          <w:tcPr>
            <w:tcW w:w="2034" w:type="dxa"/>
            <w:tcBorders/>
            <w:vAlign w:val="center"/>
          </w:tcPr>
          <w:p>
            <w:pPr>
              <w:pStyle w:val="TableContents"/>
              <w:bidi w:val="0"/>
              <w:spacing w:before="0" w:after="283"/>
              <w:jc w:val="left"/>
              <w:rPr>
                <w:sz w:val="20"/>
              </w:rPr>
            </w:pPr>
            <w:r>
              <w:rPr>
                <w:sz w:val="20"/>
              </w:rPr>
              <w:t>CEO</w:t>
            </w:r>
          </w:p>
        </w:tc>
      </w:tr>
    </w:tbl>
    <w:p>
      <w:pPr>
        <w:pStyle w:val="TextBody"/>
        <w:bidi w:val="0"/>
        <w:spacing w:before="0" w:after="0"/>
        <w:ind w:left="144" w:right="144"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BIOSIG TECHNOLOGIES, INC.</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144" w:right="144" w:firstLine="900"/>
        <w:jc w:val="both"/>
        <w:rPr>
          <w:caps w:val="false"/>
          <w:smallCaps w:val="false"/>
        </w:rPr>
      </w:pPr>
      <w:r>
        <w:rPr>
          <w:caps w:val="false"/>
          <w:smallCaps w:val="false"/>
        </w:rPr>
        <w:t> </w:t>
      </w:r>
    </w:p>
    <w:p>
      <w:pPr>
        <w:pStyle w:val="TextBody"/>
        <w:bidi w:val="0"/>
        <w:spacing w:before="0" w:after="0"/>
        <w:ind w:left="158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580"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a certificate or certificates representing said Warrant Shares in the name of the undersigned or in such other name as is specified below:</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580" w:right="144" w:firstLine="1800"/>
        <w:jc w:val="both"/>
        <w:rPr>
          <w:caps w:val="false"/>
          <w:smallCaps w:val="false"/>
          <w:u w:val="single"/>
        </w:rPr>
      </w:pPr>
      <w:r>
        <w:rPr>
          <w:caps w:val="false"/>
          <w:smallCaps w:val="false"/>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 or by physical delivery of a certificate to:</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580" w:right="144" w:firstLine="1800"/>
        <w:jc w:val="both"/>
        <w:rPr>
          <w:caps w:val="false"/>
          <w:smallCaps w:val="false"/>
          <w:u w:val="single"/>
        </w:rPr>
      </w:pPr>
      <w:r>
        <w:rPr>
          <w:caps w:val="false"/>
          <w:smallCaps w:val="false"/>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580" w:right="144" w:firstLine="1800"/>
        <w:jc w:val="both"/>
        <w:rPr>
          <w:caps w:val="false"/>
          <w:smallCaps w:val="false"/>
          <w:u w:val="single"/>
        </w:rPr>
      </w:pPr>
      <w:r>
        <w:rPr>
          <w:caps w:val="false"/>
          <w:smallCaps w:val="false"/>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580" w:right="144" w:firstLine="1800"/>
        <w:jc w:val="both"/>
        <w:rPr>
          <w:caps w:val="false"/>
          <w:smallCaps w:val="false"/>
          <w:u w:val="single"/>
        </w:rPr>
      </w:pPr>
      <w:r>
        <w:rPr>
          <w:caps w:val="false"/>
          <w:smallCaps w:val="false"/>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Investing Entity: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Authorized Signatory: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Authorized Signatory: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and supply required information. Do</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use this form to exercise the warrant.)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all of or [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shares of the foregoing Warrant and all rights evidenced thereby are hereby assigned to</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3240"/>
        <w:jc w:val="left"/>
        <w:rPr>
          <w:caps w:val="false"/>
          <w:smallCaps w:val="false"/>
        </w:rPr>
      </w:pPr>
      <w:r>
        <w:rPr>
          <w:caps w:val="false"/>
          <w:smallCaps w:val="false"/>
          <w:u w:val="single"/>
        </w:rPr>
        <w:t xml:space="preserve">                                                                                                </w:t>
      </w:r>
      <w:r>
        <w:rPr>
          <w:caps w:val="false"/>
          <w:smallCaps w:val="false"/>
        </w:rPr>
        <w:t> </w:t>
      </w:r>
      <w:r>
        <w:rPr>
          <w:rFonts w:ascii="Times New Roman;Times;Serif" w:hAnsi="Times New Roman;Times;Serif"/>
          <w:b w:val="false"/>
          <w:i w:val="false"/>
          <w:caps w:val="false"/>
          <w:smallCaps w:val="false"/>
          <w:sz w:val="20"/>
        </w:rPr>
        <w:t>whose address is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3960"/>
        <w:jc w:val="left"/>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rPr>
        <w: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5760"/>
        <w:jc w:val="left"/>
        <w:rPr>
          <w:caps w:val="false"/>
          <w:smallCaps w:val="false"/>
          <w:u w:val="single"/>
        </w:rPr>
      </w:pPr>
      <w:r>
        <w:rPr>
          <w:caps w:val="false"/>
          <w:smallCaps w:val="false"/>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firstLine="3420"/>
        <w:jc w:val="both"/>
        <w:rPr>
          <w:caps w:val="false"/>
          <w:smallCaps w:val="false"/>
          <w:u w:val="single"/>
        </w:rPr>
      </w:pPr>
      <w:r>
        <w:rPr>
          <w:caps w:val="false"/>
          <w:smallCaps w:val="false"/>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 </w:t>
      </w:r>
      <w:r>
        <w:rPr>
          <w:rFonts w:ascii="Times New Roman;Times;Serif" w:hAnsi="Times New Roman;Times;Serif"/>
          <w:b w:val="false"/>
          <w:i w:val="false"/>
          <w:caps w:val="false"/>
          <w:smallCaps w:val="false"/>
          <w:sz w:val="20"/>
          <w:u w:val="single"/>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pStyle w:val="TextBody"/>
        <w:bidi w:val="0"/>
        <w:spacing w:before="0" w:after="0"/>
        <w:ind w:left="144" w:right="144"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429" w:name="ex4-36.htm"/>
      <w:bookmarkStart w:id="1430" w:name="ksex436"/>
      <w:bookmarkEnd w:id="1429"/>
      <w:bookmarkEnd w:id="14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NEUROCLEAR TECHNOLOGIES, INC.</w:t>
      </w:r>
    </w:p>
    <w:p>
      <w:pPr>
        <w:pStyle w:val="TextBody"/>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2390"/>
        <w:gridCol w:w="60"/>
        <w:gridCol w:w="3980"/>
      </w:tblGrid>
      <w:tr>
        <w:trPr/>
        <w:tc>
          <w:tcPr>
            <w:tcW w:w="2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Shares: 473,772</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Initial Exercise Date: November 20, 2019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Mayo Clinic Ventures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the close of business on November 20, 2027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ViralClear Pharmaceuticals, Inc. f/k/a NeuroClear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473,772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common stock of the Company,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current transfer agent of the Company, and any successor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as of any particular date: (a) the volume weighted average of the closing sales prices of the Common Stock for such day on all domestic securities exchanges on which the Common Stock may at the time be listed; (b) if there have been no sales of the Common Stock on any such exchange on any such day, the average of the highest bid and lowest asked prices for the Common Stock on all such exchanges at the end of such day; (c) if on any such day the Common Stock is not listed on a domestic securities exchange, the closing sales price of the Common Stock as quoted on the OTCQB tier of the OTC Markets Group, Inc. or similar quotation system or association for such day; or (d) if there have been no sales of the Common Stock on the OTCQB tier of the OTC Markets Group, Inc. or similar quotation system or association on such day, the average of the highest bid and lowest asked prices for the Common Stock quoted on the OTCQB tier of the OTC Markets Group, Inc. or similar quotation system or association at the end of such day; in each case, averaged over twenty (20) consecutive Trading Days ending on the Trading Day immediately prior to the day as of which “VWAP” is being determined. If at any time the Common Stock is not listed on any domestic securities exchange or quoted on the OTCQB tier of the OTC Markets Group, Inc. or similar quotation system or association, the “VWAP” of the Common Stock shall be the fair market value per share as determined by the Board of Directors of the Company acting in good faith.</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.pdf copy via e-mail attachment) of the Notice of Exercise Form annexed hereto. Within five (5) Trading Days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the Common Stock under this Warrant shall be </w:t>
      </w:r>
      <w:r>
        <w:rPr>
          <w:rFonts w:ascii="Times New Roman;Times;Serif" w:hAnsi="Times New Roman;Times;Serif"/>
          <w:b/>
          <w:i w:val="false"/>
          <w:caps w:val="false"/>
          <w:smallCaps w:val="false"/>
          <w:sz w:val="20"/>
        </w:rPr>
        <w:t>$5.00</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any time commencing after the Initial Exercise Date, there is no effective registration statement registering, or no current prospectus available for the resale of all of the Warrant Shares that may be acquired pursuant to this Warrant by the Holder, then this Warrant may also be exercised at the Holder’s election,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 the VWAP on the Trading Day immediately preceding the date on which Holder elects to exercise this Warrant by means of a “cashless exercise,” as set forth in the applicable Notice of Exercise;</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 the Exercise Price of this Warrant, as adjusted hereunder; and</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 =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unless the Holder notifies the Company otherwise, if there is no effective registration statement registering, or no current prospectus available for, the resale of the Warrant Shares by the Holder, then this Warrant shall be automatically exercised via cashless exercise pursuant to this Section 2(c).</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Certificates Upon Exercise</w:t>
      </w:r>
      <w:r>
        <w:rPr>
          <w:rFonts w:ascii="Times New Roman;Times;Serif" w:hAnsi="Times New Roman;Times;Serif"/>
          <w:b w:val="false"/>
          <w:i w:val="false"/>
          <w:caps w:val="false"/>
          <w:smallCaps w:val="false"/>
          <w:sz w:val="20"/>
        </w:rPr>
        <w:t>. Certificates for shares purchased hereunder shall be transmitted by the Transfer Agent to the Holder by crediting the account of the Holder’s prime broker with The Depository Trust Company through its Deposit or Withdrawal at Custodian system (“DWAC”) if the Company is then a participant in such system and either (A) there is an effective registration statement permitting the issuance of the Warrant Shares to or resale of the Warrant Shares by the Holder or (B) this Warrant is being exercised via cashless exercise and Rule 144 is available, and otherwise by physical delivery to the address specified by the Holder in the Notice of Exercise by the date that is five (5) Trading Days after the latest of (x) the delivery to the Company of the Notice of Exercise, (y) surrender of this Warrant (if required) and (z) payment of the aggregate Exercise Price as set forth above (including by cashless exercise, if permitted) (such date,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certificates evidencing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certificates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a certificate or the certificates representing the Warrant Shares pursuant to Section 2(d)(i) by the Warrant Share Delivery Date, then the Holder will have the right, at any time prior to issuance of such Warrant Shares, to rescind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Certificates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a certificate or the certificates representing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 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or other entity of any kind),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the number of shares of capital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8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both"/>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185"/>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or unless exercised in a cashless exercise when Rule 144 is available, and the Holder does not utilize cashless exercise, will have restrictions upon resale imposed by state and federal securities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54 Wilton Road, 2nd Floor, Westport, CT 06880 Attention: Steve Chaussy, email address: </w:t>
      </w:r>
      <w:r>
        <w:rPr>
          <w:rFonts w:ascii="Times New Roman;Times;Serif" w:hAnsi="Times New Roman;Times;Serif"/>
          <w:b w:val="false"/>
          <w:i w:val="false"/>
          <w:caps w:val="false"/>
          <w:smallCaps w:val="false"/>
          <w:sz w:val="20"/>
          <w:u w:val="single"/>
        </w:rPr>
        <w:t>schaussy@biosigtech.com,</w:t>
      </w:r>
      <w:r>
        <w:rPr>
          <w:rFonts w:ascii="Times New Roman;Times;Serif" w:hAnsi="Times New Roman;Times;Serif"/>
          <w:b w:val="false"/>
          <w:i w:val="false"/>
          <w:caps w:val="false"/>
          <w:smallCaps w:val="false"/>
          <w:sz w:val="20"/>
        </w:rPr>
        <w:t xml:space="preserve">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date of transmission, if such notice or communication is delivered via facsimile or email at the facsimile number or email address set forth in this Section prior to 5:30 p.m. (New York City time) on any date, (ii) the next Trading Day after the date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75"/>
        <w:gridCol w:w="592"/>
        <w:gridCol w:w="3852"/>
      </w:tblGrid>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NEUROCLEAR TECHNOLOGIES, INC.</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38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Kenneth L. Londoner</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38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Kenneth L. Londoner</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38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CEO</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50"/>
        <w:gridCol w:w="4235"/>
      </w:tblGrid>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4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NEUROCLEAR TECHNOLOGIES,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undersigned hereby elects to purchase </w:t>
      </w:r>
      <w:r>
        <w:rPr>
          <w:rFonts w:ascii="Times New Roman;Times;Serif" w:hAnsi="Times New Roman;Times;Serif"/>
          <w:b w:val="false"/>
          <w:i w:val="false"/>
          <w:caps w:val="false"/>
          <w:smallCaps w:val="false"/>
          <w:sz w:val="20"/>
          <w:u w:val="single"/>
        </w:rPr>
        <w:t>______________</w:t>
      </w:r>
      <w:r>
        <w:rPr>
          <w:rFonts w:ascii="Times New Roman;Times;Serif" w:hAnsi="Times New Roman;Times;Serif"/>
          <w:b w:val="false"/>
          <w:i w:val="false"/>
          <w:caps w:val="false"/>
          <w:smallCaps w:val="false"/>
          <w:sz w:val="20"/>
        </w:rPr>
        <w:t>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a certificate or certificates representing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 or by physical delivery of a certificate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Investing Entity: </w:t>
      </w:r>
      <w:r>
        <w:rPr>
          <w:rFonts w:ascii="Times New Roman;Times;Serif" w:hAnsi="Times New Roman;Times;Serif"/>
          <w:b w:val="false"/>
          <w:i w:val="false"/>
          <w:caps w:val="false"/>
          <w:smallCaps w:val="false"/>
          <w:sz w:val="20"/>
          <w:u w:val="single"/>
        </w:rPr>
        <w:t>___________________________________________________________________________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and supply required information.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use this form to exercise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w:t>
      </w:r>
      <w:r>
        <w:rPr>
          <w:rFonts w:ascii="Times New Roman;Times;Serif" w:hAnsi="Times New Roman;Times;Serif"/>
          <w:b w:val="false"/>
          <w:i w:val="false"/>
          <w:caps w:val="false"/>
          <w:smallCaps w:val="false"/>
          <w:sz w:val="20"/>
          <w:u w:val="single"/>
        </w:rPr>
        <w:t>___</w:t>
      </w:r>
      <w:r>
        <w:rPr>
          <w:rFonts w:ascii="Times New Roman;Times;Serif" w:hAnsi="Times New Roman;Times;Serif"/>
          <w:b w:val="false"/>
          <w:i w:val="false"/>
          <w:caps w:val="false"/>
          <w:smallCaps w:val="false"/>
          <w:sz w:val="20"/>
        </w:rPr>
        <w:t>] all of or [______] shares of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____________________________________________whose address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 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31" w:name="ex21-1.htm"/>
      <w:bookmarkStart w:id="1432" w:name="ksex211"/>
      <w:bookmarkEnd w:id="1431"/>
      <w:bookmarkEnd w:id="14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the Registrant</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28" w:type="dxa"/>
          <w:right w:w="0" w:type="dxa"/>
        </w:tblCellMar>
      </w:tblPr>
      <w:tblGrid>
        <w:gridCol w:w="3380"/>
        <w:gridCol w:w="60"/>
        <w:gridCol w:w="2450"/>
      </w:tblGrid>
      <w:tr>
        <w:trPr/>
        <w:tc>
          <w:tcPr>
            <w:tcW w:w="33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Organization</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1540875 B.C.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Columbia, Canada</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BST Sub ULC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Columbia, Canada</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Exchange 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Columbia, Canada</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Capital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Partners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Columbia, Canada</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GLDY ServiceCo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Gold SPV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Tokenization Holdco SPV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ViralClear Pharmaceuticals, Inc.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3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BioSig AI Sciences Inc.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This information is as of March 27,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33" w:name="ex23-1.htm"/>
      <w:bookmarkStart w:id="1434" w:name="ksex231"/>
      <w:bookmarkEnd w:id="1433"/>
      <w:bookmarkEnd w:id="14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(File Nos. 333-291659, 333-276298) and Form S-8 (File Nos. 333-284255, 333-293487 and 333-290717) of our report dated March 31, 2026, with respect to the consolidated financial statements of Streamex Corp. included in this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 xml:space="preserve">CBIZ CPAs P.C.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35" w:name="ex23-3.htm"/>
      <w:bookmarkStart w:id="1436" w:name="ksex233"/>
      <w:bookmarkEnd w:id="1435"/>
      <w:bookmarkEnd w:id="14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(File Nos. 333-291659, 333-276298) and Form S-8 (File Nos. 333-284255, 333-293487 and 333-290717) of our report dated April 15, 2025 with respect to the consolidated financial statements of Streamex Corp. (f/k/a BioSig Technologies, Inc.) included in this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1437" w:name="ex31-01.htm"/>
      <w:bookmarkStart w:id="1438" w:name="ksex3101"/>
      <w:bookmarkEnd w:id="1437"/>
      <w:bookmarkEnd w:id="143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Streamex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00" w:type="dxa"/>
        <w:jc w:val="left"/>
        <w:tblInd w:w="0" w:type="dxa"/>
        <w:tblLayout w:type="fixed"/>
        <w:tblCellMar>
          <w:top w:w="0" w:type="dxa"/>
          <w:left w:w="0" w:type="dxa"/>
          <w:bottom w:w="0" w:type="dxa"/>
          <w:right w:w="0" w:type="dxa"/>
        </w:tblCellMar>
      </w:tblPr>
      <w:tblGrid>
        <w:gridCol w:w="4325"/>
        <w:gridCol w:w="75"/>
      </w:tblGrid>
      <w:tr>
        <w:trPr/>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pPr>
      <w:bookmarkStart w:id="1439" w:name="ex31-02.htm"/>
      <w:bookmarkStart w:id="1440" w:name="ksex3102"/>
      <w:bookmarkEnd w:id="1439"/>
      <w:bookmarkEnd w:id="144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Christine Plummer,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Streamex Corp;</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555"/>
        <w:gridCol w:w="75"/>
      </w:tblGrid>
      <w:tr>
        <w:trPr/>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March 31, 2026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Christine Plummer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1441" w:name="ex32-01.htm"/>
      <w:bookmarkStart w:id="1442" w:name="ksex3201"/>
      <w:bookmarkEnd w:id="1441"/>
      <w:bookmarkEnd w:id="144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pursuant to 18 U.S.C. Section 1350, as adopted pursuant to Section 906 of the Sarbanes-Oxley Act of 2002, that the Annual Report of Streamex Corp. on Form 10-K for the fiscal year ended December 31, 2025 fully complies with the requirements of Section 13(a) or 15(d) of the Securities Exchange Act of 1934 and that information contained in this Annual Report on Form 10-K fairly presents in all material respects the financial condition and results of operations of Streamex Corp., as of, and for, the periods presented in the Annual Report on Form 10-K.</w:t>
      </w:r>
    </w:p>
    <w:p>
      <w:pPr>
        <w:pStyle w:val="TextBody"/>
        <w:bidi w:val="0"/>
        <w:spacing w:before="0" w:after="0"/>
        <w:ind w:left="0" w:right="0" w:hanging="0"/>
        <w:jc w:val="both"/>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1850"/>
        <w:gridCol w:w="590"/>
        <w:gridCol w:w="4340"/>
      </w:tblGrid>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March 31, 2026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1443" w:name="ex32-02.htm"/>
      <w:bookmarkStart w:id="1444" w:name="ksex3202"/>
      <w:bookmarkEnd w:id="1443"/>
      <w:bookmarkEnd w:id="144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Christine Plummer, certify, pursuant to 18 U.S.C. Section 1350, as adopted pursuant to Section 906 of the Sarbanes-Oxley Act of 2002, that the Annual Report of Streamex Corp. on Form 10-K for the fiscal year ended December 31, 2025 fully complies with the requirements of Section 13(a) or 15(d) of the Securities Exchange Act of 1934 and that information contained in this Annual Report on Form 10-K fairly presents in all material respects the financial condition and results of operations of Streamex Corp., as of, and for, the periods presented in the Annual Report on Form 10-K.</w:t>
      </w:r>
    </w:p>
    <w:p>
      <w:pPr>
        <w:pStyle w:val="TextBody"/>
        <w:bidi w:val="0"/>
        <w:spacing w:before="0" w:after="0"/>
        <w:ind w:left="0" w:right="0" w:hanging="0"/>
        <w:jc w:val="both"/>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1850"/>
        <w:gridCol w:w="590"/>
        <w:gridCol w:w="5720"/>
      </w:tblGrid>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r>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March 31, 2026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r>
      <w:tr>
        <w:trPr/>
        <w:tc>
          <w:tcPr>
            <w:tcW w:w="185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0766/000164117225012363/ex2-1.htm" TargetMode="External"/><Relationship Id="rId3" Type="http://schemas.openxmlformats.org/officeDocument/2006/relationships/hyperlink" Target="https://www.sec.gov/Archives/edgar/data/1530766/000164117225013022/ex10-2.htm" TargetMode="External"/><Relationship Id="rId4" Type="http://schemas.openxmlformats.org/officeDocument/2006/relationships/hyperlink" Target="https://www.sec.gov/Archives/edgar/data/1530766/000118518513001497/ex3-1.htm" TargetMode="External"/><Relationship Id="rId5" Type="http://schemas.openxmlformats.org/officeDocument/2006/relationships/hyperlink" Target="https://www.sec.gov/Archives/edgar/data/1530766/000118518513001497/ex3-2.htm" TargetMode="External"/><Relationship Id="rId6" Type="http://schemas.openxmlformats.org/officeDocument/2006/relationships/hyperlink" Target="https://www.sec.gov/Archives/edgar/data/1530766/000118518513001497/ex3-3.htm" TargetMode="External"/><Relationship Id="rId7" Type="http://schemas.openxmlformats.org/officeDocument/2006/relationships/hyperlink" Target="https://www.sec.gov/Archives/edgar/data/1530766/000118518514000157/ex3-5.htm" TargetMode="External"/><Relationship Id="rId8" Type="http://schemas.openxmlformats.org/officeDocument/2006/relationships/hyperlink" Target="https://www.sec.gov/Archives/edgar/data/1530766/000118518514000682/ex3-6.htm" TargetMode="External"/><Relationship Id="rId9" Type="http://schemas.openxmlformats.org/officeDocument/2006/relationships/hyperlink" Target="https://www.sec.gov/Archives/edgar/data/1530766/000118518514002304/ex3-1.htm" TargetMode="External"/><Relationship Id="rId10" Type="http://schemas.openxmlformats.org/officeDocument/2006/relationships/hyperlink" Target="https://www.sec.gov/Archives/edgar/data/1530766/000118518516005869/ex3-1.htm" TargetMode="External"/><Relationship Id="rId11" Type="http://schemas.openxmlformats.org/officeDocument/2006/relationships/hyperlink" Target="https://www.sec.gov/Archives/edgar/data/1530766/000118518518001663/ex_123712.htm" TargetMode="External"/><Relationship Id="rId12" Type="http://schemas.openxmlformats.org/officeDocument/2006/relationships/hyperlink" Target="https://www.sec.gov/Archives/edgar/data/1530766/000118518517002299/ex3-1.htm" TargetMode="External"/><Relationship Id="rId13" Type="http://schemas.openxmlformats.org/officeDocument/2006/relationships/hyperlink" Target="https://www.sec.gov/Archives/edgar/data/1530766/000118518518000262/ex3-1.htm" TargetMode="External"/><Relationship Id="rId14" Type="http://schemas.openxmlformats.org/officeDocument/2006/relationships/hyperlink" Target="https://www.sec.gov/Archives/edgar/data/1530766/000118518520001022/ex_194163.htm" TargetMode="External"/><Relationship Id="rId15" Type="http://schemas.openxmlformats.org/officeDocument/2006/relationships/hyperlink" Target="https://www.sec.gov/Archives/edgar/data/1530766/000118518519001298/ex_158779.htm" TargetMode="External"/><Relationship Id="rId16" Type="http://schemas.openxmlformats.org/officeDocument/2006/relationships/hyperlink" Target="https://www.sec.gov/Archives/edgar/data/1530766/000118518519001419/ex_160875.htm" TargetMode="External"/><Relationship Id="rId17" Type="http://schemas.openxmlformats.org/officeDocument/2006/relationships/hyperlink" Target="https://www.sec.gov/Archives/edgar/data/1530766/000118518522001453/ex_459349.htm" TargetMode="External"/><Relationship Id="rId18" Type="http://schemas.openxmlformats.org/officeDocument/2006/relationships/hyperlink" Target="https://www.sec.gov/Archives/edgar/data/1530766/000149315223039894/ex3-1.htm" TargetMode="External"/><Relationship Id="rId19" Type="http://schemas.openxmlformats.org/officeDocument/2006/relationships/hyperlink" Target="https://www.sec.gov/Archives/edgar/data/1530766/000149315224004491/ex3-1.htm" TargetMode="External"/><Relationship Id="rId20" Type="http://schemas.openxmlformats.org/officeDocument/2006/relationships/hyperlink" Target="https://www.sec.gov/Archives/edgar/data/1530766/000164117225012363/ex3-1.htm" TargetMode="External"/><Relationship Id="rId21" Type="http://schemas.openxmlformats.org/officeDocument/2006/relationships/hyperlink" Target="https://www.sec.gov/Archives/edgar/data/1530766/000164117225012363/ex3-1.htm" TargetMode="External"/><Relationship Id="rId22" Type="http://schemas.openxmlformats.org/officeDocument/2006/relationships/hyperlink" Target="https://www.sec.gov/Archives/edgar/data/1530766/000164117225026749/ex3-1.htm" TargetMode="External"/><Relationship Id="rId23" Type="http://schemas.openxmlformats.org/officeDocument/2006/relationships/hyperlink" Target="https://www.sec.gov/Archives/edgar/data/1530766/000164117225027127/ex3-1.htm" TargetMode="External"/><Relationship Id="rId24" Type="http://schemas.openxmlformats.org/officeDocument/2006/relationships/hyperlink" Target="https://www.sec.gov/Archives/edgar/data/1530766/000149315225024294/ex3-1.htm" TargetMode="External"/><Relationship Id="rId25" Type="http://schemas.openxmlformats.org/officeDocument/2006/relationships/hyperlink" Target="https://www.sec.gov/Archives/edgar/data/1530766/000149315225024294/ex3-1.htm" TargetMode="External"/><Relationship Id="rId26" Type="http://schemas.openxmlformats.org/officeDocument/2006/relationships/hyperlink" Target="https://www.sec.gov/Archives/edgar/data/1530766/000149315225024294/ex3-1.htm" TargetMode="External"/><Relationship Id="rId27" Type="http://schemas.openxmlformats.org/officeDocument/2006/relationships/hyperlink" Target="https://www.sec.gov/Archives/edgar/data/1530766/000118518521000918/ex_261687.htm" TargetMode="External"/><Relationship Id="rId28" Type="http://schemas.openxmlformats.org/officeDocument/2006/relationships/hyperlink" Target="https://www.sec.gov/Archives/edgar/data/1530766/000118518522000787/ex_390372.htm" TargetMode="External"/><Relationship Id="rId29" Type="http://schemas.openxmlformats.org/officeDocument/2006/relationships/hyperlink" Target="https://www.sec.gov/Archives/edgar/data/1530766/000118518522001454/ex_459301.htm" TargetMode="External"/><Relationship Id="rId30" Type="http://schemas.openxmlformats.org/officeDocument/2006/relationships/hyperlink" Target="https://www.sec.gov/Archives/edgar/data/1530766/000118518523000034/ex_463635.htm" TargetMode="External"/><Relationship Id="rId31" Type="http://schemas.openxmlformats.org/officeDocument/2006/relationships/hyperlink" Target="https://www.sec.gov/Archives/edgar/data/1530766/000118518523000102/ex_472776.htm" TargetMode="External"/><Relationship Id="rId32" Type="http://schemas.openxmlformats.org/officeDocument/2006/relationships/hyperlink" Target="https://www.sec.gov/Archives/edgar/data/1530766/000118518523000062/ex_467050.htm" TargetMode="External"/><Relationship Id="rId33" Type="http://schemas.openxmlformats.org/officeDocument/2006/relationships/hyperlink" Target="https://www.sec.gov/Archives/edgar/data/1530766/000118518523000088/ex_470998.htm" TargetMode="External"/><Relationship Id="rId34" Type="http://schemas.openxmlformats.org/officeDocument/2006/relationships/hyperlink" Target="https://www.sec.gov/Archives/edgar/data/1530766/000118518523000073/ex_468181.htm" TargetMode="External"/><Relationship Id="rId35" Type="http://schemas.openxmlformats.org/officeDocument/2006/relationships/hyperlink" Target="https://www.sec.gov/Archives/edgar/data/1530766/000118518523000102/ex_472750.htm" TargetMode="External"/><Relationship Id="rId36" Type="http://schemas.openxmlformats.org/officeDocument/2006/relationships/hyperlink" Target="https://www.sec.gov/Archives/edgar/data/1530766/000118518523000102/ex_472777.htm" TargetMode="External"/><Relationship Id="rId37" Type="http://schemas.openxmlformats.org/officeDocument/2006/relationships/hyperlink" Target="https://www.sec.gov/Archives/edgar/data/1530766/000118518523000120/ex_474493.htm" TargetMode="External"/><Relationship Id="rId38" Type="http://schemas.openxmlformats.org/officeDocument/2006/relationships/hyperlink" Target="https://www.sec.gov/Archives/edgar/data/1530766/000118518523000216/ex_489111.htm" TargetMode="External"/><Relationship Id="rId39" Type="http://schemas.openxmlformats.org/officeDocument/2006/relationships/hyperlink" Target="https://www.sec.gov/Archives/edgar/data/1530766/000118518523000216/ex_488874.htm" TargetMode="External"/><Relationship Id="rId40" Type="http://schemas.openxmlformats.org/officeDocument/2006/relationships/hyperlink" Target="https://www.sec.gov/Archives/edgar/data/1530766/000118518523000270/ex_494204.htm" TargetMode="External"/><Relationship Id="rId41" Type="http://schemas.openxmlformats.org/officeDocument/2006/relationships/hyperlink" Target="https://www.sec.gov/Archives/edgar/data/1530766/000118518523000270/ex_494203.htm" TargetMode="External"/><Relationship Id="rId42" Type="http://schemas.openxmlformats.org/officeDocument/2006/relationships/hyperlink" Target="https://www.sec.gov/Archives/edgar/data/1530766/000118518523000405/ex_504488.htm" TargetMode="External"/><Relationship Id="rId43" Type="http://schemas.openxmlformats.org/officeDocument/2006/relationships/hyperlink" Target="https://www.sec.gov/Archives/edgar/data/1530766/000118518523000405/ex_504489.htm" TargetMode="External"/><Relationship Id="rId44" Type="http://schemas.openxmlformats.org/officeDocument/2006/relationships/hyperlink" Target="https://www.sec.gov/Archives/edgar/data/1530766/000118518523000571/ex_524466.htm" TargetMode="External"/><Relationship Id="rId45" Type="http://schemas.openxmlformats.org/officeDocument/2006/relationships/hyperlink" Target="https://www.sec.gov/Archives/edgar/data/1530766/000118518523000770/ex_550676.htm" TargetMode="External"/><Relationship Id="rId46" Type="http://schemas.openxmlformats.org/officeDocument/2006/relationships/hyperlink" Target="https://www.sec.gov/Archives/edgar/data/1530766/000118518523000770/ex_550677.htm" TargetMode="External"/><Relationship Id="rId47" Type="http://schemas.openxmlformats.org/officeDocument/2006/relationships/hyperlink" Target="https://www.sec.gov/Archives/edgar/data/1530766/000118518523000962/ex_568964.htm" TargetMode="External"/><Relationship Id="rId48" Type="http://schemas.openxmlformats.org/officeDocument/2006/relationships/hyperlink" Target="https://www.sec.gov/Archives/edgar/data/1530766/000118518523000962/ex_568965.htm" TargetMode="External"/><Relationship Id="rId49" Type="http://schemas.openxmlformats.org/officeDocument/2006/relationships/hyperlink" Target="https://www.sec.gov/Archives/edgar/data/1530766/000118518523001013/ex_573901.htm" TargetMode="External"/><Relationship Id="rId50" Type="http://schemas.openxmlformats.org/officeDocument/2006/relationships/hyperlink" Target="https://www.sec.gov/Archives/edgar/data/1530766/000118518523001013/ex_573902.htm" TargetMode="External"/><Relationship Id="rId51" Type="http://schemas.openxmlformats.org/officeDocument/2006/relationships/hyperlink" Target="https://www.sec.gov/Archives/edgar/data/1530766/000118518523001070/ex_580087.htm" TargetMode="External"/><Relationship Id="rId52" Type="http://schemas.openxmlformats.org/officeDocument/2006/relationships/hyperlink" Target="https://www.sec.gov/Archives/edgar/data/1530766/000118518523001070/ex_580088.htm" TargetMode="External"/><Relationship Id="rId53" Type="http://schemas.openxmlformats.org/officeDocument/2006/relationships/hyperlink" Target="https://www.sec.gov/Archives/edgar/data/1530766/000149315223040339/ex4-3.htm" TargetMode="External"/><Relationship Id="rId54" Type="http://schemas.openxmlformats.org/officeDocument/2006/relationships/hyperlink" Target="https://www.sec.gov/Archives/edgar/data/1530766/000149315224002266/ex4-1.htm" TargetMode="External"/><Relationship Id="rId55" Type="http://schemas.openxmlformats.org/officeDocument/2006/relationships/hyperlink" Target="https://www.sec.gov/Archives/edgar/data/1530766/000149315224018021/ex4-1.htm" TargetMode="External"/><Relationship Id="rId56" Type="http://schemas.openxmlformats.org/officeDocument/2006/relationships/hyperlink" Target="https://www.sec.gov/Archives/edgar/data/1530766/000149315225009213/ex4-1.htm" TargetMode="External"/><Relationship Id="rId57" Type="http://schemas.openxmlformats.org/officeDocument/2006/relationships/hyperlink" Target="https://www.sec.gov/Archives/edgar/data/1530766/000149315224009635/ex4-1.htm" TargetMode="External"/><Relationship Id="rId58" Type="http://schemas.openxmlformats.org/officeDocument/2006/relationships/hyperlink" Target="https://www.sec.gov/Archives/edgar/data/1530766/000149315224002266/ex10-1.htm" TargetMode="External"/><Relationship Id="rId59" Type="http://schemas.openxmlformats.org/officeDocument/2006/relationships/hyperlink" Target="https://www.sec.gov/Archives/edgar/data/1530766/000149315224018021/ex10-1.htm" TargetMode="External"/><Relationship Id="rId60" Type="http://schemas.openxmlformats.org/officeDocument/2006/relationships/hyperlink" Target="https://www.sec.gov/Archives/edgar/data/1530766/000149315224021987/ex10-1.htm" TargetMode="External"/><Relationship Id="rId61" Type="http://schemas.openxmlformats.org/officeDocument/2006/relationships/hyperlink" Target="https://www.sec.gov/Archives/edgar/data/1530766/000149315224036190/ex10-1.htm" TargetMode="External"/><Relationship Id="rId62" Type="http://schemas.openxmlformats.org/officeDocument/2006/relationships/hyperlink" Target="https://www.sec.gov/Archives/edgar/data/1530766/000149315224036190/ex10-2.htm" TargetMode="External"/><Relationship Id="rId63" Type="http://schemas.openxmlformats.org/officeDocument/2006/relationships/hyperlink" Target="https://www.sec.gov/Archives/edgar/data/1530766/000149315224036190/ex10-3.htm" TargetMode="External"/><Relationship Id="rId64" Type="http://schemas.openxmlformats.org/officeDocument/2006/relationships/hyperlink" Target="https://www.sec.gov/Archives/edgar/data/1530766/000149315224050607/ex10-1.htm" TargetMode="External"/><Relationship Id="rId65" Type="http://schemas.openxmlformats.org/officeDocument/2006/relationships/hyperlink" Target="https://www.sec.gov/Archives/edgar/data/1530766/000149315225008931/ex10-1.htm" TargetMode="External"/><Relationship Id="rId66" Type="http://schemas.openxmlformats.org/officeDocument/2006/relationships/hyperlink" Target="https://www.sec.gov/Archives/edgar/data/1530766/000149315225009213/ex10-1.htm" TargetMode="External"/><Relationship Id="rId67" Type="http://schemas.openxmlformats.org/officeDocument/2006/relationships/hyperlink" Target="https://www.sec.gov/Archives/edgar/data/1530766/000164117225012363/ex10-1.htm" TargetMode="External"/><Relationship Id="rId68" Type="http://schemas.openxmlformats.org/officeDocument/2006/relationships/hyperlink" Target="https://www.sec.gov/Archives/edgar/data/1530766/000164117225012363/ex10-2.htm" TargetMode="External"/><Relationship Id="rId69" Type="http://schemas.openxmlformats.org/officeDocument/2006/relationships/hyperlink" Target="https://www.sec.gov/Archives/edgar/data/1530766/000164117225012363/ex10-3.htm" TargetMode="External"/><Relationship Id="rId70" Type="http://schemas.openxmlformats.org/officeDocument/2006/relationships/hyperlink" Target="https://www.sec.gov/Archives/edgar/data/1530766/000164117225012363/ex10-4.htm" TargetMode="External"/><Relationship Id="rId71" Type="http://schemas.openxmlformats.org/officeDocument/2006/relationships/hyperlink" Target="https://www.sec.gov/Archives/edgar/data/1530766/000164117225012363/ex10-5.htm" TargetMode="External"/><Relationship Id="rId72" Type="http://schemas.openxmlformats.org/officeDocument/2006/relationships/hyperlink" Target="https://www.sec.gov/Archives/edgar/data/1530766/000164117225013022/ex10-1.htm" TargetMode="External"/><Relationship Id="rId73" Type="http://schemas.openxmlformats.org/officeDocument/2006/relationships/hyperlink" Target="https://www.sec.gov/Archives/edgar/data/1530766/000164117225013022/ex10-2.htm" TargetMode="External"/><Relationship Id="rId74" Type="http://schemas.openxmlformats.org/officeDocument/2006/relationships/hyperlink" Target="https://www.sec.gov/Archives/edgar/data/1530766/000164117225018318/ex10-3.htm" TargetMode="External"/><Relationship Id="rId75" Type="http://schemas.openxmlformats.org/officeDocument/2006/relationships/hyperlink" Target="https://www.sec.gov/Archives/edgar/data/1530766/000164117225023406/ex10-1.htm" TargetMode="External"/><Relationship Id="rId76" Type="http://schemas.openxmlformats.org/officeDocument/2006/relationships/hyperlink" Target="https://www.sec.gov/Archives/edgar/data/1530766/000164117225023406/ex10-1.htm" TargetMode="External"/><Relationship Id="rId77" Type="http://schemas.openxmlformats.org/officeDocument/2006/relationships/hyperlink" Target="https://www.sec.gov/Archives/edgar/data/1530766/000164117225024484/ex1-1.htm" TargetMode="External"/><Relationship Id="rId78" Type="http://schemas.openxmlformats.org/officeDocument/2006/relationships/hyperlink" Target="https://www.sec.gov/Archives/edgar/data/1530766/000164117225026749/ex10-1.htm" TargetMode="External"/><Relationship Id="rId79" Type="http://schemas.openxmlformats.org/officeDocument/2006/relationships/hyperlink" Target="https://www.sec.gov/Archives/edgar/data/1530766/000164117225026853/ex10-1.htm" TargetMode="External"/><Relationship Id="rId80" Type="http://schemas.openxmlformats.org/officeDocument/2006/relationships/hyperlink" Target="https://www.sec.gov/Archives/edgar/data/1530766/000164117225026853/ex10-1.htm" TargetMode="External"/><Relationship Id="rId81" Type="http://schemas.openxmlformats.org/officeDocument/2006/relationships/hyperlink" Target="https://www.sec.gov/Archives/edgar/data/1530766/000149315225019993/ex10-1.htm" TargetMode="External"/><Relationship Id="rId82" Type="http://schemas.openxmlformats.org/officeDocument/2006/relationships/hyperlink" Target="https://www.sec.gov/Archives/edgar/data/1530766/000149315225019993/ex10-1.htm" TargetMode="External"/><Relationship Id="rId83" Type="http://schemas.openxmlformats.org/officeDocument/2006/relationships/hyperlink" Target="https://www.sec.gov/Archives/edgar/data/1530766/000149315225021102/ex4-1.htm" TargetMode="External"/><Relationship Id="rId84" Type="http://schemas.openxmlformats.org/officeDocument/2006/relationships/hyperlink" Target="https://www.sec.gov/Archives/edgar/data/1530766/000149315225021102/ex4-1.htm" TargetMode="External"/><Relationship Id="rId85" Type="http://schemas.openxmlformats.org/officeDocument/2006/relationships/hyperlink" Target="https://www.sec.gov/Archives/edgar/data/1530766/000149315225021102/ex4-1.htm" TargetMode="External"/><Relationship Id="rId86" Type="http://schemas.openxmlformats.org/officeDocument/2006/relationships/hyperlink" Target="https://www.sec.gov/Archives/edgar/data/1530766/000149315225021102/ex10-2.htm" TargetMode="External"/><Relationship Id="rId87" Type="http://schemas.openxmlformats.org/officeDocument/2006/relationships/hyperlink" Target="https://www.sec.gov/Archives/edgar/data/1530766/000149315225021102/ex10-2.htm" TargetMode="External"/><Relationship Id="rId88" Type="http://schemas.openxmlformats.org/officeDocument/2006/relationships/hyperlink" Target="https://www.sec.gov/Archives/edgar/data/1530766/000149315225021102/ex10-3.htm" TargetMode="External"/><Relationship Id="rId89" Type="http://schemas.openxmlformats.org/officeDocument/2006/relationships/hyperlink" Target="https://www.sec.gov/Archives/edgar/data/1530766/000149315225021102/ex10-3.htm" TargetMode="External"/><Relationship Id="rId90" Type="http://schemas.openxmlformats.org/officeDocument/2006/relationships/hyperlink" Target="https://www.sec.gov/Archives/edgar/data/1530766/000149315225021102/ex10-4.htm" TargetMode="External"/><Relationship Id="rId91" Type="http://schemas.openxmlformats.org/officeDocument/2006/relationships/hyperlink" Target="https://www.sec.gov/Archives/edgar/data/1530766/000149315225021102/ex10-4.htm" TargetMode="External"/><Relationship Id="rId92" Type="http://schemas.openxmlformats.org/officeDocument/2006/relationships/hyperlink" Target="https://www.sec.gov/Archives/edgar/data/1530766/000164117225018318/ex10-2.htm" TargetMode="External"/><Relationship Id="rId93" Type="http://schemas.openxmlformats.org/officeDocument/2006/relationships/hyperlink" Target="https://www.sec.gov/Archives/edgar/data/1530766/000164117225018318/ex10-2.htm" TargetMode="External"/><Relationship Id="rId94" Type="http://schemas.openxmlformats.org/officeDocument/2006/relationships/hyperlink" Target="https://www.sec.gov/Archives/edgar/data/1530766/000164117225018318/ex10-2.htm" TargetMode="External"/><Relationship Id="rId95" Type="http://schemas.openxmlformats.org/officeDocument/2006/relationships/hyperlink" Target="https://www.sec.gov/Archives/edgar/data/1530766/000164117225018318/ex10-2.htm" TargetMode="External"/><Relationship Id="rId96" Type="http://schemas.openxmlformats.org/officeDocument/2006/relationships/hyperlink" Target="https://www.sec.gov/Archives/edgar/data/1530766/000149315225024294/ex10-1.htm" TargetMode="External"/><Relationship Id="rId97" Type="http://schemas.openxmlformats.org/officeDocument/2006/relationships/hyperlink" Target="https://www.sec.gov/Archives/edgar/data/1530766/000149315225024294/ex10-2.htm" TargetMode="External"/><Relationship Id="rId98" Type="http://schemas.openxmlformats.org/officeDocument/2006/relationships/hyperlink" Target="https://www.sec.gov/Archives/edgar/data/1530766/000149315225024294/ex10-2.htm" TargetMode="External"/><Relationship Id="rId99" Type="http://schemas.openxmlformats.org/officeDocument/2006/relationships/hyperlink" Target="https://www.sec.gov/Archives/edgar/data/1530766/000149315225024294/ex10-3.htm" TargetMode="External"/><Relationship Id="rId100" Type="http://schemas.openxmlformats.org/officeDocument/2006/relationships/hyperlink" Target="https://www.sec.gov/Archives/edgar/data/1530766/000149315225024294/ex10-3.htm" TargetMode="External"/><Relationship Id="rId101" Type="http://schemas.openxmlformats.org/officeDocument/2006/relationships/hyperlink" Target="https://www.sec.gov/Archives/edgar/data/1530766/000149315225024294/ex10-3.htm" TargetMode="External"/><Relationship Id="rId102" Type="http://schemas.openxmlformats.org/officeDocument/2006/relationships/hyperlink" Target="https://www.sec.gov/Archives/edgar/data/1530766/000149315225024294/ex10-3.htm" TargetMode="External"/><Relationship Id="rId103" Type="http://schemas.openxmlformats.org/officeDocument/2006/relationships/hyperlink" Target="https://www.sec.gov/Archives/edgar/data/1530766/000149315225027987/ex10-1.htm" TargetMode="External"/><Relationship Id="rId104" Type="http://schemas.openxmlformats.org/officeDocument/2006/relationships/hyperlink" Target="https://www.sec.gov/Archives/edgar/data/1530766/000149315225027987/ex10-1.htm" TargetMode="External"/><Relationship Id="rId105" Type="http://schemas.openxmlformats.org/officeDocument/2006/relationships/hyperlink" Target="https://www.sec.gov/Archives/edgar/data/1530766/000149315226003820/ex1-1.htm" TargetMode="External"/><Relationship Id="rId106" Type="http://schemas.openxmlformats.org/officeDocument/2006/relationships/hyperlink" Target="https://www.sec.gov/Archives/edgar/data/1530766/000149315226005784/ex10-1.htm" TargetMode="External"/><Relationship Id="rId107" Type="http://schemas.openxmlformats.org/officeDocument/2006/relationships/hyperlink" Target="https://www.sec.gov/Archives/edgar/data/1530766/000149315226005784/ex10-1.htm" TargetMode="External"/><Relationship Id="rId108" Type="http://schemas.openxmlformats.org/officeDocument/2006/relationships/hyperlink" Target="https://www.sec.gov/Archives/edgar/data/1530766/000149315226009128/ex10-1.htm" TargetMode="External"/><Relationship Id="rId109" Type="http://schemas.openxmlformats.org/officeDocument/2006/relationships/hyperlink" Target="https://www.sec.gov/Archives/edgar/data/1530766/000149315226009128/ex10-1.htm" TargetMode="External"/><Relationship Id="rId110" Type="http://schemas.openxmlformats.org/officeDocument/2006/relationships/hyperlink" Target="https://www.sec.gov/Archives/edgar/data/1530766/000164117225007596/ex16.htm" TargetMode="External"/><Relationship Id="rId111" Type="http://schemas.openxmlformats.org/officeDocument/2006/relationships/hyperlink" Target="https://www.sec.gov/Archives/edgar/data/1530766/000164117225004816/ex19-1.htm" TargetMode="External"/><Relationship Id="rId112" Type="http://schemas.openxmlformats.org/officeDocument/2006/relationships/hyperlink" Target="https://www.sec.gov/Archives/edgar/data/1530766/000149315224014860/ex97.htm" TargetMode="External"/><Relationship Id="rId113" Type="http://schemas.openxmlformats.org/officeDocument/2006/relationships/fontTable" Target="fontTable.xml"/><Relationship Id="rId1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116212</Words>
  <Characters>644990</Characters>
  <CharactersWithSpaces>766732</CharactersWithSpaces>
  <Paragraphs>13596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