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Williams Mitchell Young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STREAMEX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 LINCOLN AVE FL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WINTER PARK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32789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Streamex Corp.</w:t>
              </w:r>
            </w:hyperlink>
            <w:r>
              <w:rPr/>
              <w:t xml:space="preserve"> [ </w:t>
            </w:r>
            <w:r>
              <w:rPr>
                <w:rFonts w:ascii="Times;serif" w:hAnsi="Times;serif"/>
                <w:color w:val="0000FF"/>
                <w:sz w:val="24"/>
                <w:shd w:fill="FFFFFF" w:val="clear"/>
              </w:rPr>
              <w:t>STEX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Investment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836"/>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55,335</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2,958,503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72,689</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0.72</w:t>
            </w:r>
            <w:r>
              <w:rPr>
                <w:rFonts w:ascii="Times;serif" w:hAnsi="Times;serif"/>
                <w:color w:val="008000"/>
                <w:position w:val="7"/>
                <w:sz w:val="16"/>
                <w:sz w:val="20"/>
                <w:shd w:fill="FFFFFF" w:val="clear"/>
              </w:rPr>
              <w:t>(3)</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2,885,814</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had shares withheld by the Issuer to satisfy tax withholding obligations incurred upon the partial vesting of Restricted Stock Units ("RSUs") which were granted on April 28, 2026. The initial vesting tranche of the RSUs was amended to August 1, 2026 from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sold the reported shares of Common Stock upon the partial vesting on August 29, 2026 of the May 2025 RSU Award, solely to satisfy tax withholding obligations incurred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represents a weighted average sale price for shares sold in multiple transactions on September 2, 2026. The sales prices for the transactions ranged from $0.7156 to $0.7233. The Reporting Person undertakes to provide to the Issuer, any security holder of the Issuer, or the staff of the Securities and Exchange Commission, upon request,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Mitchell Young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1989" TargetMode="External"/><Relationship Id="rId5" Type="http://schemas.openxmlformats.org/officeDocument/2006/relationships/hyperlink" Target="http://www.sec.gov/cgi-bin/browse-edgar?action=getcompany&amp;CIK=00015307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3921</Characters>
  <CharactersWithSpaces>4571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